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F9" w:rsidRDefault="00B171F9">
      <w:pPr>
        <w:widowControl w:val="0"/>
        <w:spacing w:line="120" w:lineRule="exact"/>
        <w:rPr>
          <w:rFonts w:ascii="Times New Roman" w:hAnsi="Times New Roman" w:cs="Times New Roman"/>
          <w:sz w:val="24"/>
          <w:szCs w:val="24"/>
        </w:rPr>
      </w:pPr>
      <w:bookmarkStart w:id="0" w:name="_GoBack"/>
      <w:bookmarkEnd w:id="0"/>
    </w:p>
    <w:p w:rsidR="00B171F9" w:rsidRDefault="00B171F9">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4C07F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171F9" w:rsidRDefault="00B171F9">
      <w:pPr>
        <w:widowControl w:val="0"/>
        <w:tabs>
          <w:tab w:val="left" w:pos="360"/>
        </w:tabs>
        <w:rPr>
          <w:rFonts w:ascii="Times New Roman" w:hAnsi="Times New Roman" w:cs="Times New Roman"/>
          <w:sz w:val="24"/>
          <w:szCs w:val="24"/>
        </w:rPr>
      </w:pPr>
    </w:p>
    <w:p w:rsidR="00B171F9" w:rsidRDefault="00B171F9">
      <w:pPr>
        <w:widowControl w:val="0"/>
        <w:spacing w:line="437" w:lineRule="exact"/>
        <w:rPr>
          <w:rFonts w:ascii="Times New Roman" w:hAnsi="Times New Roman" w:cs="Times New Roman"/>
          <w:sz w:val="24"/>
          <w:szCs w:val="24"/>
        </w:rPr>
      </w:pPr>
    </w:p>
    <w:p w:rsidR="001A00FA" w:rsidRDefault="001A00FA">
      <w:pPr>
        <w:widowControl w:val="0"/>
        <w:tabs>
          <w:tab w:val="center" w:pos="5819"/>
        </w:tabs>
        <w:jc w:val="center"/>
        <w:rPr>
          <w:rFonts w:ascii="Times New Roman" w:hAnsi="Times New Roman" w:cs="Times New Roman"/>
          <w:b/>
          <w:bCs/>
          <w:color w:val="000000"/>
          <w:sz w:val="24"/>
          <w:szCs w:val="24"/>
        </w:rPr>
      </w:pPr>
    </w:p>
    <w:p w:rsidR="00B171F9" w:rsidRDefault="00B171F9">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B171F9" w:rsidRDefault="00B171F9">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B171F9" w:rsidRDefault="00B171F9">
      <w:pPr>
        <w:widowControl w:val="0"/>
        <w:tabs>
          <w:tab w:val="center" w:pos="5820"/>
        </w:tabs>
        <w:jc w:val="center"/>
        <w:rPr>
          <w:rFonts w:ascii="Times New Roman" w:hAnsi="Times New Roman" w:cs="Times New Roman"/>
          <w:b/>
          <w:bCs/>
          <w:color w:val="000000"/>
          <w:sz w:val="24"/>
          <w:szCs w:val="24"/>
        </w:rPr>
      </w:pPr>
    </w:p>
    <w:p w:rsidR="00C72736" w:rsidRDefault="00C72736">
      <w:pPr>
        <w:widowControl w:val="0"/>
        <w:jc w:val="center"/>
        <w:rPr>
          <w:rFonts w:ascii="Times New Roman" w:hAnsi="Times New Roman" w:cs="Times New Roman"/>
          <w:b/>
          <w:bCs/>
          <w:sz w:val="24"/>
          <w:szCs w:val="24"/>
        </w:rPr>
      </w:pPr>
    </w:p>
    <w:p w:rsidR="001A00FA" w:rsidRDefault="001A00FA">
      <w:pPr>
        <w:widowControl w:val="0"/>
        <w:jc w:val="center"/>
        <w:rPr>
          <w:rFonts w:ascii="Times New Roman" w:hAnsi="Times New Roman" w:cs="Times New Roman"/>
          <w:b/>
          <w:bCs/>
          <w:sz w:val="24"/>
          <w:szCs w:val="24"/>
        </w:rPr>
      </w:pPr>
    </w:p>
    <w:p w:rsidR="00B171F9" w:rsidRDefault="00B171F9">
      <w:pPr>
        <w:widowControl w:val="0"/>
        <w:jc w:val="center"/>
        <w:rPr>
          <w:rFonts w:ascii="Times New Roman" w:hAnsi="Times New Roman" w:cs="Times New Roman"/>
          <w:sz w:val="24"/>
          <w:szCs w:val="24"/>
        </w:rPr>
      </w:pPr>
      <w:r>
        <w:rPr>
          <w:rFonts w:ascii="Times New Roman" w:hAnsi="Times New Roman" w:cs="Times New Roman"/>
          <w:b/>
          <w:bCs/>
          <w:sz w:val="24"/>
          <w:szCs w:val="24"/>
        </w:rPr>
        <w:t>TOP-006-1 — Monitoring System Conditions</w:t>
      </w:r>
    </w:p>
    <w:p w:rsidR="00B171F9" w:rsidRDefault="00B171F9">
      <w:pPr>
        <w:widowControl w:val="0"/>
        <w:jc w:val="center"/>
        <w:rPr>
          <w:rFonts w:ascii="Times New Roman" w:hAnsi="Times New Roman" w:cs="Times New Roman"/>
          <w:sz w:val="24"/>
          <w:szCs w:val="24"/>
        </w:rPr>
      </w:pPr>
    </w:p>
    <w:p w:rsidR="00B171F9" w:rsidRDefault="00B171F9">
      <w:pPr>
        <w:widowControl w:val="0"/>
        <w:jc w:val="center"/>
        <w:rPr>
          <w:rFonts w:ascii="Times New Roman" w:hAnsi="Times New Roman" w:cs="Times New Roman"/>
          <w:sz w:val="24"/>
          <w:szCs w:val="24"/>
        </w:rPr>
      </w:pPr>
    </w:p>
    <w:p w:rsidR="00C72736" w:rsidRDefault="00C72736" w:rsidP="0051367A">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 w:val="left" w:pos="3690"/>
          <w:tab w:val="left" w:pos="5400"/>
        </w:tabs>
        <w:spacing w:line="480" w:lineRule="auto"/>
        <w:ind w:firstLine="450"/>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C7273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 xml:space="preserve">TOP, </w:t>
      </w:r>
      <w:r w:rsidR="0051367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BA, GOP, RC</w:t>
      </w:r>
    </w:p>
    <w:p w:rsidR="00B171F9" w:rsidRDefault="00B171F9" w:rsidP="0051367A">
      <w:pPr>
        <w:widowControl w:val="0"/>
        <w:tabs>
          <w:tab w:val="left" w:pos="90"/>
          <w:tab w:val="left" w:pos="45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B171F9" w:rsidRDefault="00B171F9">
      <w:pPr>
        <w:widowControl w:val="0"/>
        <w:spacing w:line="1469" w:lineRule="exact"/>
        <w:rPr>
          <w:rFonts w:ascii="Times New Roman" w:hAnsi="Times New Roman" w:cs="Times New Roman"/>
          <w:sz w:val="24"/>
          <w:szCs w:val="24"/>
        </w:rPr>
      </w:pPr>
    </w:p>
    <w:p w:rsidR="00B171F9" w:rsidRDefault="00B171F9">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B171F9" w:rsidRDefault="00B171F9">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71F9" w:rsidRDefault="00B171F9">
      <w:pPr>
        <w:rPr>
          <w:rFonts w:ascii="Times New Roman" w:hAnsi="Times New Roman" w:cs="Times New Roman"/>
          <w:color w:val="000000"/>
          <w:sz w:val="24"/>
          <w:szCs w:val="24"/>
        </w:rPr>
      </w:pPr>
    </w:p>
    <w:p w:rsidR="00B171F9" w:rsidRDefault="00B171F9">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171F9" w:rsidRDefault="00B171F9">
      <w:pPr>
        <w:widowControl w:val="0"/>
        <w:tabs>
          <w:tab w:val="left" w:pos="360"/>
        </w:tabs>
        <w:spacing w:line="12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color w:val="264D74"/>
          <w:sz w:val="24"/>
          <w:szCs w:val="24"/>
        </w:rPr>
      </w:pPr>
    </w:p>
    <w:p w:rsidR="00B171F9" w:rsidRPr="003B4C8E" w:rsidRDefault="00B171F9">
      <w:pPr>
        <w:pStyle w:val="Heading1"/>
        <w:rPr>
          <w:bCs/>
          <w:color w:val="003366"/>
        </w:rPr>
      </w:pPr>
      <w:r>
        <w:rPr>
          <w:rFonts w:ascii="Times New Roman" w:hAnsi="Times New Roman" w:cs="Times New Roman"/>
          <w:sz w:val="24"/>
          <w:szCs w:val="24"/>
        </w:rPr>
        <w:br w:type="page"/>
      </w:r>
      <w:r w:rsidRPr="003B4C8E">
        <w:rPr>
          <w:bCs/>
          <w:color w:val="003366"/>
        </w:rPr>
        <w:lastRenderedPageBreak/>
        <w:t>Subject Matter Experts</w:t>
      </w:r>
    </w:p>
    <w:p w:rsidR="003B4C8E" w:rsidRDefault="003B4C8E">
      <w:pPr>
        <w:widowControl w:val="0"/>
        <w:rPr>
          <w:rFonts w:ascii="Times New Roman" w:hAnsi="Times New Roman" w:cs="Times New Roman"/>
          <w:color w:val="000000"/>
          <w:sz w:val="24"/>
          <w:szCs w:val="24"/>
        </w:rPr>
      </w:pPr>
    </w:p>
    <w:p w:rsidR="00B171F9" w:rsidRDefault="00B171F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171F9" w:rsidRDefault="00B171F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171F9">
        <w:tc>
          <w:tcPr>
            <w:tcW w:w="3528"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171F9">
        <w:tc>
          <w:tcPr>
            <w:tcW w:w="3528" w:type="dxa"/>
            <w:tcBorders>
              <w:left w:val="nil"/>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bl>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49"/>
        <w:rPr>
          <w:color w:val="244061"/>
        </w:rPr>
      </w:pPr>
    </w:p>
    <w:p w:rsidR="00B171F9" w:rsidRDefault="00B171F9">
      <w:pPr>
        <w:widowControl w:val="0"/>
        <w:spacing w:line="40" w:lineRule="exact"/>
        <w:rPr>
          <w:rFonts w:ascii="Times New Roman" w:hAnsi="Times New Roman" w:cs="Times New Roman"/>
          <w:color w:val="244061"/>
          <w:sz w:val="24"/>
          <w:szCs w:val="24"/>
        </w:rPr>
      </w:pPr>
    </w:p>
    <w:p w:rsidR="00B171F9" w:rsidRDefault="00B171F9">
      <w:pPr>
        <w:pStyle w:val="Heading1"/>
      </w:pPr>
      <w:r>
        <w:rPr>
          <w:rFonts w:ascii="Times New Roman" w:hAnsi="Times New Roman" w:cs="Times New Roman"/>
          <w:b/>
          <w:bCs/>
          <w:color w:val="003366"/>
          <w:sz w:val="24"/>
          <w:szCs w:val="24"/>
        </w:rPr>
        <w:br w:type="page"/>
      </w:r>
      <w:r>
        <w:t>Reliability Standard Language</w:t>
      </w:r>
    </w:p>
    <w:p w:rsidR="00B171F9" w:rsidRDefault="00B171F9">
      <w:pPr>
        <w:widowControl w:val="0"/>
        <w:tabs>
          <w:tab w:val="left" w:pos="120"/>
        </w:tabs>
        <w:spacing w:line="331" w:lineRule="exact"/>
        <w:rPr>
          <w:rFonts w:ascii="Times New Roman" w:hAnsi="Times New Roman" w:cs="Times New Roman"/>
          <w:sz w:val="24"/>
          <w:szCs w:val="24"/>
        </w:rPr>
      </w:pPr>
    </w:p>
    <w:p w:rsidR="00B171F9" w:rsidRDefault="00B171F9">
      <w:pPr>
        <w:widowControl w:val="0"/>
        <w:shd w:val="clear" w:color="auto" w:fill="D3DCE9"/>
        <w:spacing w:line="120" w:lineRule="exact"/>
        <w:rPr>
          <w:rFonts w:ascii="Times New Roman" w:hAnsi="Times New Roman" w:cs="Times New Roman"/>
          <w:sz w:val="24"/>
          <w:szCs w:val="24"/>
        </w:rPr>
      </w:pPr>
    </w:p>
    <w:p w:rsidR="00B171F9" w:rsidRDefault="00B171F9">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TOP-006-1 — Monitoring System Conditions</w:t>
      </w:r>
    </w:p>
    <w:p w:rsidR="00B171F9" w:rsidRDefault="00B171F9">
      <w:pPr>
        <w:widowControl w:val="0"/>
        <w:shd w:val="clear" w:color="auto" w:fill="D3DCE9"/>
        <w:spacing w:line="135"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C72736" w:rsidRDefault="00C72736">
      <w:pPr>
        <w:widowControl w:val="0"/>
        <w:tabs>
          <w:tab w:val="left" w:pos="840"/>
        </w:tabs>
        <w:spacing w:line="294" w:lineRule="exact"/>
        <w:rPr>
          <w:rFonts w:ascii="Times New Roman" w:hAnsi="Times New Roman" w:cs="Times New Roman"/>
          <w:b/>
          <w:bCs/>
          <w:color w:val="264D74"/>
          <w:sz w:val="24"/>
          <w:szCs w:val="24"/>
        </w:rPr>
      </w:pPr>
    </w:p>
    <w:p w:rsidR="00B171F9" w:rsidRDefault="00B171F9">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B171F9" w:rsidRDefault="00B171F9">
      <w:pPr>
        <w:widowControl w:val="0"/>
        <w:tabs>
          <w:tab w:val="left" w:pos="840"/>
        </w:tabs>
        <w:spacing w:line="306" w:lineRule="exact"/>
        <w:rPr>
          <w:rFonts w:ascii="Times New Roman" w:hAnsi="Times New Roman" w:cs="Times New Roman"/>
          <w:color w:val="000000"/>
          <w:sz w:val="24"/>
          <w:szCs w:val="24"/>
        </w:rPr>
      </w:pPr>
      <w:r>
        <w:rPr>
          <w:rFonts w:ascii="Times New Roman" w:hAnsi="Times New Roman" w:cs="Times New Roman"/>
          <w:color w:val="000000"/>
          <w:sz w:val="24"/>
          <w:szCs w:val="24"/>
        </w:rPr>
        <w:t>To ensure critical reliability parameters are monitored in real-time.</w:t>
      </w:r>
    </w:p>
    <w:p w:rsidR="00B171F9" w:rsidRDefault="00B171F9">
      <w:pPr>
        <w:widowControl w:val="0"/>
        <w:rPr>
          <w:rFonts w:ascii="Times New Roman" w:hAnsi="Times New Roman" w:cs="Times New Roman"/>
          <w:sz w:val="24"/>
          <w:szCs w:val="24"/>
        </w:rPr>
      </w:pPr>
    </w:p>
    <w:p w:rsidR="00B171F9" w:rsidRDefault="00B171F9">
      <w:pPr>
        <w:widowControl w:val="0"/>
        <w:tabs>
          <w:tab w:val="left" w:pos="84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840"/>
        </w:tabs>
        <w:spacing w:line="338"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Operators </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Balancing Authorities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Generator Operators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Reliability Coordinators</w:t>
      </w:r>
    </w:p>
    <w:p w:rsidR="00B171F9" w:rsidRDefault="00B171F9">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254" w:lineRule="exact"/>
        <w:rPr>
          <w:rFonts w:ascii="Times New Roman" w:hAnsi="Times New Roman" w:cs="Times New Roman"/>
          <w:sz w:val="24"/>
          <w:szCs w:val="24"/>
        </w:rPr>
      </w:pPr>
    </w:p>
    <w:p w:rsidR="00B171F9" w:rsidRDefault="00B171F9">
      <w:pPr>
        <w:widowControl w:val="0"/>
        <w:tabs>
          <w:tab w:val="left" w:pos="480"/>
        </w:tabs>
        <w:spacing w:line="290" w:lineRule="exact"/>
        <w:rPr>
          <w:rFonts w:ascii="Times New Roman Bold" w:hAnsi="Times New Roman Bold" w:cs="Times New Roman"/>
          <w:b/>
          <w:bCs/>
          <w:sz w:val="24"/>
          <w:szCs w:val="24"/>
        </w:rPr>
      </w:pPr>
      <w:r>
        <w:rPr>
          <w:rFonts w:ascii="Times New Roman Bold" w:hAnsi="Times New Roman Bold" w:cs="Times New Roman"/>
          <w:b/>
          <w:bCs/>
          <w:sz w:val="24"/>
          <w:szCs w:val="24"/>
        </w:rPr>
        <w:t>NERC BOT Approval Date: 11/1/2006</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FERC Approval Date: 3/16/2007</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Pr>
              <w:rFonts w:ascii="Times New Roman Bold" w:hAnsi="Times New Roman Bold" w:cs="Times New Roman"/>
              <w:b/>
              <w:bCs/>
              <w:sz w:val="24"/>
              <w:szCs w:val="24"/>
            </w:rPr>
            <w:t>United States</w:t>
          </w:r>
        </w:smartTag>
      </w:smartTag>
      <w:r>
        <w:rPr>
          <w:rFonts w:ascii="Times New Roman Bold" w:hAnsi="Times New Roman Bold" w:cs="Times New Roman"/>
          <w:b/>
          <w:bCs/>
          <w:sz w:val="24"/>
          <w:szCs w:val="24"/>
        </w:rPr>
        <w:t>: 6/18/2007</w:t>
      </w:r>
    </w:p>
    <w:p w:rsidR="00B171F9" w:rsidRDefault="00B171F9">
      <w:pPr>
        <w:widowControl w:val="0"/>
        <w:spacing w:line="240" w:lineRule="exact"/>
        <w:rPr>
          <w:rFonts w:ascii="Times New Roman" w:hAnsi="Times New Roman" w:cs="Times New Roman"/>
          <w:sz w:val="24"/>
          <w:szCs w:val="24"/>
        </w:rPr>
      </w:pPr>
    </w:p>
    <w:p w:rsidR="00B171F9" w:rsidRDefault="00B171F9">
      <w:pPr>
        <w:widowControl w:val="0"/>
        <w:rPr>
          <w:rFonts w:ascii="Times New Roman" w:hAnsi="Times New Roman" w:cs="Times New Roman"/>
          <w:b/>
          <w:bCs/>
          <w:color w:val="003366"/>
          <w:sz w:val="24"/>
          <w:szCs w:val="24"/>
        </w:rPr>
      </w:pPr>
    </w:p>
    <w:p w:rsidR="00C72736" w:rsidRDefault="00C72736">
      <w:pPr>
        <w:widowControl w:val="0"/>
        <w:spacing w:line="294" w:lineRule="exact"/>
        <w:rPr>
          <w:rFonts w:ascii="Times New Roman" w:hAnsi="Times New Roman" w:cs="Times New Roman"/>
          <w:b/>
          <w:bCs/>
          <w:color w:val="003366"/>
          <w:sz w:val="24"/>
          <w:szCs w:val="24"/>
        </w:rPr>
      </w:pPr>
    </w:p>
    <w:p w:rsidR="00B171F9" w:rsidRDefault="00B171F9">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Requirements:</w:t>
      </w:r>
    </w:p>
    <w:p w:rsidR="00B171F9" w:rsidRDefault="00B171F9">
      <w:pPr>
        <w:widowControl w:val="0"/>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sz w:val="24"/>
          <w:szCs w:val="24"/>
        </w:rPr>
        <w:t xml:space="preserve">Each Transmission Operator and Balancing Authority shall know the status of all generation and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transmission resources available for use.  </w:t>
      </w:r>
    </w:p>
    <w:p w:rsidR="00B171F9" w:rsidRDefault="00B171F9">
      <w:pPr>
        <w:rPr>
          <w:rFonts w:ascii="Times New Roman" w:hAnsi="Times New Roman" w:cs="Times New Roman"/>
          <w:sz w:val="24"/>
          <w:szCs w:val="24"/>
        </w:rPr>
      </w:pPr>
    </w:p>
    <w:p w:rsidR="00B171F9" w:rsidRDefault="00B171F9">
      <w:pPr>
        <w:tabs>
          <w:tab w:val="left" w:pos="900"/>
        </w:tabs>
        <w:rPr>
          <w:rFonts w:ascii="Times New Roman" w:hAnsi="Times New Roman" w:cs="Times New Roman"/>
          <w:sz w:val="24"/>
          <w:szCs w:val="24"/>
        </w:rPr>
      </w:pPr>
      <w:r>
        <w:rPr>
          <w:rFonts w:ascii="Times New Roman" w:hAnsi="Times New Roman" w:cs="Times New Roman"/>
          <w:b/>
          <w:bCs/>
          <w:sz w:val="24"/>
          <w:szCs w:val="24"/>
        </w:rPr>
        <w:t xml:space="preserve">           R1.1. </w:t>
      </w:r>
      <w:r>
        <w:rPr>
          <w:rFonts w:ascii="Times New Roman" w:hAnsi="Times New Roman" w:cs="Times New Roman"/>
          <w:sz w:val="24"/>
          <w:szCs w:val="24"/>
        </w:rPr>
        <w:t xml:space="preserve">Each Generator Operator shall inform its Host Balancing Authority and the Transmission Operator </w:t>
      </w:r>
    </w:p>
    <w:p w:rsidR="00B171F9" w:rsidRDefault="00B171F9">
      <w:pPr>
        <w:tabs>
          <w:tab w:val="left" w:pos="900"/>
        </w:tabs>
        <w:rPr>
          <w:rFonts w:ascii="Times New Roman" w:hAnsi="Times New Roman" w:cs="Times New Roman"/>
          <w:sz w:val="24"/>
          <w:szCs w:val="24"/>
        </w:rPr>
      </w:pPr>
      <w:r>
        <w:rPr>
          <w:rFonts w:ascii="Times New Roman" w:hAnsi="Times New Roman" w:cs="Times New Roman"/>
          <w:sz w:val="24"/>
          <w:szCs w:val="24"/>
        </w:rPr>
        <w:t xml:space="preserve">                     of all generation resources available for use.</w:t>
      </w:r>
    </w:p>
    <w:p w:rsidR="00B171F9" w:rsidRDefault="00B171F9">
      <w:pPr>
        <w:rPr>
          <w:rFonts w:ascii="Times New Roman" w:hAnsi="Times New Roman" w:cs="Times New Roman"/>
          <w:sz w:val="24"/>
          <w:szCs w:val="24"/>
        </w:rPr>
      </w:pPr>
    </w:p>
    <w:p w:rsidR="00B171F9" w:rsidRDefault="00B171F9">
      <w:pPr>
        <w:ind w:firstLine="1"/>
        <w:rPr>
          <w:rFonts w:ascii="Times New Roman" w:hAnsi="Times New Roman" w:cs="Times New Roman"/>
          <w:sz w:val="24"/>
          <w:szCs w:val="24"/>
        </w:rPr>
      </w:pPr>
      <w:r>
        <w:rPr>
          <w:rFonts w:ascii="Times New Roman" w:hAnsi="Times New Roman" w:cs="Times New Roman"/>
          <w:b/>
          <w:bCs/>
          <w:sz w:val="24"/>
          <w:szCs w:val="24"/>
        </w:rPr>
        <w:t xml:space="preserve">           R1.2. </w:t>
      </w:r>
      <w:r>
        <w:rPr>
          <w:rFonts w:ascii="Times New Roman" w:hAnsi="Times New Roman" w:cs="Times New Roman"/>
          <w:sz w:val="24"/>
          <w:szCs w:val="24"/>
        </w:rPr>
        <w:t xml:space="preserve">Each Transmission Operator and Balancing Authority shall inform the Reliability Coordinator and </w:t>
      </w:r>
    </w:p>
    <w:p w:rsidR="00B171F9" w:rsidRDefault="00B171F9">
      <w:pPr>
        <w:ind w:firstLine="1"/>
        <w:rPr>
          <w:rFonts w:ascii="Times New Roman" w:hAnsi="Times New Roman" w:cs="Times New Roman"/>
          <w:sz w:val="24"/>
          <w:szCs w:val="24"/>
        </w:rPr>
      </w:pPr>
      <w:r>
        <w:rPr>
          <w:rFonts w:ascii="Times New Roman" w:hAnsi="Times New Roman" w:cs="Times New Roman"/>
          <w:sz w:val="24"/>
          <w:szCs w:val="24"/>
        </w:rPr>
        <w:t xml:space="preserve">                     other affected Balancing Authorities and Transmission Operators of all generation and </w:t>
      </w:r>
      <w:r>
        <w:rPr>
          <w:rFonts w:ascii="Times New Roman" w:hAnsi="Times New Roman" w:cs="Times New Roman"/>
          <w:sz w:val="24"/>
          <w:szCs w:val="24"/>
        </w:rPr>
        <w:tab/>
      </w:r>
      <w:r>
        <w:rPr>
          <w:rFonts w:ascii="Times New Roman" w:hAnsi="Times New Roman" w:cs="Times New Roman"/>
          <w:sz w:val="24"/>
          <w:szCs w:val="24"/>
        </w:rPr>
        <w:tab/>
      </w:r>
    </w:p>
    <w:p w:rsidR="00B171F9" w:rsidRDefault="00B171F9">
      <w:pPr>
        <w:ind w:left="13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transmission resources available for use.</w:t>
      </w:r>
    </w:p>
    <w:p w:rsidR="00B171F9" w:rsidRDefault="00B171F9">
      <w:pPr>
        <w:widowControl w:val="0"/>
        <w:tabs>
          <w:tab w:val="left" w:pos="720"/>
        </w:tabs>
        <w:spacing w:line="360" w:lineRule="exact"/>
        <w:ind w:left="720"/>
        <w:rPr>
          <w:rFonts w:ascii="Times New Roman" w:hAnsi="Times New Roman" w:cs="Times New Roman"/>
          <w:sz w:val="24"/>
          <w:szCs w:val="24"/>
        </w:rPr>
      </w:pPr>
    </w:p>
    <w:p w:rsidR="00B171F9" w:rsidRDefault="00B171F9">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70463" w:rsidRPr="004971D5" w:rsidRDefault="00C70463" w:rsidP="004971D5">
      <w:pPr>
        <w:pStyle w:val="Heading1"/>
      </w:pPr>
      <w:r w:rsidRPr="004971D5">
        <w:t>R1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rsidP="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70463" w:rsidRDefault="00C70463">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R1.</w:t>
      </w:r>
    </w:p>
    <w:p w:rsidR="00B171F9" w:rsidRDefault="00B171F9">
      <w:pPr>
        <w:widowControl w:val="0"/>
        <w:rPr>
          <w:rFonts w:ascii="Times New Roman" w:hAnsi="Times New Roman" w:cs="Times New Roman"/>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Pr>
          <w:rFonts w:ascii="Times New Roman" w:hAnsi="Times New Roman" w:cs="Times New Roman"/>
          <w:color w:val="365F91"/>
          <w:sz w:val="24"/>
          <w:szCs w:val="24"/>
        </w:rPr>
        <w:t>ify, as a TOP and/or BA, the entity knows the status of all generation and transmission resources available for use.</w:t>
      </w:r>
    </w:p>
    <w:p w:rsidR="00C70463" w:rsidRP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the GOP has informed its host BA and TOP of all generation resources available for use.</w:t>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as a TOP and/or BA, the entity has informed its RC and other affected BAs and TOPs of all generation and transmission resources available for use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ind w:firstLine="1"/>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R2.     </w:t>
      </w:r>
      <w:r>
        <w:rPr>
          <w:rFonts w:ascii="Times New Roman" w:hAnsi="Times New Roman" w:cs="Times New Roman"/>
          <w:sz w:val="24"/>
          <w:szCs w:val="24"/>
        </w:rPr>
        <w:t>Each Reliability Coordinator, Transmission Operator, and Balancing Authority shall monitor applicable</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transmission line status, real and reactive power flows, voltage, load-tap-changer settings, and status of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rotating and static reactive resources.</w:t>
      </w:r>
    </w:p>
    <w:p w:rsidR="00B171F9" w:rsidRDefault="00B171F9">
      <w:pPr>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C70463" w:rsidRPr="004971D5" w:rsidRDefault="00C70463" w:rsidP="004971D5">
      <w:pPr>
        <w:pStyle w:val="Heading1"/>
      </w:pPr>
      <w:r w:rsidRPr="004971D5">
        <w:t>R2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R2.</w:t>
      </w:r>
    </w:p>
    <w:p w:rsidR="00B171F9" w:rsidRDefault="00B171F9">
      <w:pPr>
        <w:widowControl w:val="0"/>
        <w:rPr>
          <w:rFonts w:ascii="Times New Roman" w:hAnsi="Times New Roman" w:cs="Times New Roman"/>
          <w:sz w:val="24"/>
          <w:szCs w:val="24"/>
        </w:rPr>
      </w:pPr>
    </w:p>
    <w:p w:rsidR="00B171F9" w:rsidRPr="00C70463"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C70463">
        <w:rPr>
          <w:rFonts w:ascii="Times New Roman" w:hAnsi="Times New Roman" w:cs="Times New Roman"/>
          <w:bCs/>
          <w:color w:val="365F91"/>
          <w:sz w:val="24"/>
          <w:szCs w:val="24"/>
        </w:rPr>
        <w:t>___</w:t>
      </w:r>
      <w:r w:rsidRPr="00C70463">
        <w:rPr>
          <w:rFonts w:ascii="Times New Roman" w:hAnsi="Times New Roman" w:cs="Times New Roman"/>
          <w:b/>
          <w:bCs/>
          <w:color w:val="365F91"/>
          <w:sz w:val="24"/>
          <w:szCs w:val="24"/>
        </w:rPr>
        <w:tab/>
      </w:r>
      <w:r w:rsidRPr="00C70463">
        <w:rPr>
          <w:rFonts w:ascii="Times New Roman" w:hAnsi="Times New Roman" w:cs="Times New Roman"/>
          <w:color w:val="365F91"/>
          <w:sz w:val="24"/>
          <w:szCs w:val="24"/>
        </w:rPr>
        <w:t>Verify that the entity monitored applicable transmission line status, real and reactive power flows, voltage, load</w:t>
      </w:r>
      <w:r w:rsidRPr="00C70463">
        <w:rPr>
          <w:rFonts w:ascii="Times New Roman" w:hAnsi="Times New Roman" w:cs="Times New Roman"/>
          <w:color w:val="365F91"/>
          <w:sz w:val="24"/>
          <w:szCs w:val="24"/>
        </w:rPr>
        <w:noBreakHyphen/>
        <w:t>tap</w:t>
      </w:r>
      <w:r w:rsidRPr="00C70463">
        <w:rPr>
          <w:rFonts w:ascii="Times New Roman" w:hAnsi="Times New Roman" w:cs="Times New Roman"/>
          <w:color w:val="365F91"/>
          <w:sz w:val="24"/>
          <w:szCs w:val="24"/>
        </w:rPr>
        <w:noBreakHyphen/>
        <w:t>changer settings, and status of rotating and static reactive resources.</w:t>
      </w:r>
    </w:p>
    <w:p w:rsidR="00B171F9" w:rsidRDefault="00B171F9">
      <w:pPr>
        <w:widowControl w:val="0"/>
        <w:tabs>
          <w:tab w:val="left" w:pos="1620"/>
        </w:tabs>
        <w:spacing w:line="281" w:lineRule="exact"/>
        <w:ind w:left="1620" w:hanging="162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R3.     </w:t>
      </w:r>
      <w:r>
        <w:rPr>
          <w:rFonts w:ascii="Times New Roman" w:hAnsi="Times New Roman" w:cs="Times New Roman"/>
          <w:sz w:val="24"/>
          <w:szCs w:val="24"/>
        </w:rPr>
        <w:t>Each Reliability Coordinator, Transmission Operator, and Balancing Authority shall provide appropriate</w:t>
      </w:r>
    </w:p>
    <w:p w:rsidR="00B171F9" w:rsidRDefault="00B171F9">
      <w:pPr>
        <w:pStyle w:val="Requirement"/>
        <w:rPr>
          <w:sz w:val="24"/>
        </w:rPr>
      </w:pPr>
      <w:r>
        <w:rPr>
          <w:sz w:val="24"/>
        </w:rPr>
        <w:t xml:space="preserve">           technical information concerning protective relays to their operating personnel.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R3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R3.</w:t>
      </w:r>
    </w:p>
    <w:p w:rsidR="00B171F9" w:rsidRDefault="00B171F9">
      <w:pPr>
        <w:widowControl w:val="0"/>
        <w:rPr>
          <w:rFonts w:ascii="Times New Roman" w:hAnsi="Times New Roman" w:cs="Times New Roman"/>
          <w:sz w:val="24"/>
          <w:szCs w:val="24"/>
        </w:rPr>
      </w:pPr>
    </w:p>
    <w:p w:rsidR="00B171F9" w:rsidRDefault="00C70463" w:rsidP="00C70463">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provided appropriate technical information concerning protective relays to their operating personnel.</w:t>
      </w:r>
    </w:p>
    <w:p w:rsidR="00B171F9" w:rsidRDefault="00B171F9">
      <w:pPr>
        <w:widowControl w:val="0"/>
        <w:tabs>
          <w:tab w:val="left" w:pos="1080"/>
          <w:tab w:val="left" w:pos="1620"/>
        </w:tabs>
        <w:ind w:left="1627" w:hanging="1627"/>
        <w:jc w:val="center"/>
        <w:rPr>
          <w:rFonts w:ascii="Times New Roman" w:hAnsi="Times New Roman" w:cs="Times New Roman"/>
          <w:b/>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R4.     </w:t>
      </w:r>
      <w:r>
        <w:rPr>
          <w:rFonts w:ascii="Times New Roman" w:hAnsi="Times New Roman" w:cs="Times New Roman"/>
          <w:sz w:val="24"/>
          <w:szCs w:val="24"/>
        </w:rPr>
        <w:t xml:space="preserve">Each Reliability Coordinator, Transmission Operator, and Balancing Authority shall have information, </w:t>
      </w:r>
    </w:p>
    <w:p w:rsidR="00B171F9" w:rsidRDefault="00B171F9">
      <w:pPr>
        <w:pStyle w:val="Requirement"/>
        <w:rPr>
          <w:sz w:val="24"/>
        </w:rPr>
      </w:pPr>
      <w:r>
        <w:rPr>
          <w:sz w:val="24"/>
        </w:rPr>
        <w:t xml:space="preserve">            including weather forecasts and past load patterns, available to predict the system’s near-term load </w:t>
      </w:r>
    </w:p>
    <w:p w:rsidR="00B171F9" w:rsidRDefault="00B171F9">
      <w:pPr>
        <w:pStyle w:val="Requirement"/>
        <w:rPr>
          <w:sz w:val="24"/>
        </w:rPr>
      </w:pPr>
      <w:r>
        <w:rPr>
          <w:sz w:val="24"/>
        </w:rPr>
        <w:t xml:space="preserve">            pattern.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R4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R4.</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has the following information available to predict the system’s near term load</w:t>
      </w: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Weather forecasts</w:t>
      </w: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Past load patterns</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R5.     </w:t>
      </w:r>
      <w:r>
        <w:rPr>
          <w:rFonts w:ascii="Times New Roman" w:hAnsi="Times New Roman" w:cs="Times New Roman"/>
          <w:sz w:val="24"/>
          <w:szCs w:val="24"/>
        </w:rPr>
        <w:t xml:space="preserve">Each Reliability Coordinator, Transmission Operator, and Balancing Authority shall use monitoring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equipment to bring to the attention of operating personnel important deviations in operating conditions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and to indicate, if appropriate, the need for corrective action.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R5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noBreakHyphen/>
        <w:t>006</w:t>
      </w:r>
      <w:r>
        <w:rPr>
          <w:rFonts w:ascii="Times New Roman" w:hAnsi="Times New Roman" w:cs="Times New Roman"/>
          <w:b/>
          <w:bCs/>
          <w:color w:val="264D74"/>
          <w:sz w:val="24"/>
          <w:szCs w:val="24"/>
        </w:rPr>
        <w:noBreakHyphen/>
        <w:t>1 R5.</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 xml:space="preserve">is using monitoring equipment which brings to the attention of operating personnel important deviations in operating conditions </w:t>
      </w:r>
    </w:p>
    <w:p w:rsidR="00D27110" w:rsidRP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(and if appropriate) the need for corrective action.</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B171F9" w:rsidRDefault="00B171F9">
      <w:pPr>
        <w:pStyle w:val="Requirement"/>
        <w:rPr>
          <w:sz w:val="24"/>
        </w:rPr>
      </w:pPr>
      <w:r>
        <w:rPr>
          <w:b/>
          <w:sz w:val="24"/>
        </w:rPr>
        <w:t>R6.</w:t>
      </w:r>
      <w:r>
        <w:rPr>
          <w:sz w:val="24"/>
        </w:rPr>
        <w:tab/>
        <w:t>Each Balancing Authority and Transmission Operator shall use sufficient metering of suitable range, accuracy and sampling rate (if applicable) to ensure accurate and timely monitoring of operating conditions under both normal and emergency situations.</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4971D5" w:rsidRDefault="00D27110" w:rsidP="004971D5">
      <w:pPr>
        <w:pStyle w:val="Heading1"/>
      </w:pPr>
      <w:r w:rsidRPr="004971D5">
        <w:t>R6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R6.</w:t>
      </w:r>
    </w:p>
    <w:p w:rsidR="00B171F9" w:rsidRDefault="00B171F9">
      <w:pPr>
        <w:widowControl w:val="0"/>
        <w:tabs>
          <w:tab w:val="left" w:pos="1620"/>
        </w:tabs>
        <w:ind w:left="1627" w:hanging="1627"/>
        <w:rPr>
          <w:rFonts w:ascii="Times New Roman" w:hAnsi="Times New Roman" w:cs="Times New Roman"/>
          <w:sz w:val="24"/>
          <w:szCs w:val="24"/>
        </w:rPr>
      </w:pPr>
    </w:p>
    <w:p w:rsidR="00B171F9" w:rsidRPr="00D27110"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utilizes metering to ensure accurate and timely monitoring of operating conditions under both normal and emergency situations of suitable range, accuracy sampling rate (if applicable).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pStyle w:val="Requirement"/>
        <w:rPr>
          <w:sz w:val="24"/>
        </w:rPr>
      </w:pPr>
      <w:r>
        <w:rPr>
          <w:b/>
          <w:sz w:val="24"/>
        </w:rPr>
        <w:t>R7.</w:t>
      </w:r>
      <w:r>
        <w:rPr>
          <w:sz w:val="24"/>
        </w:rPr>
        <w:tab/>
        <w:t>Each Reliability Coordinator, Transmission Operator, and Balancing Authority shall monitor system frequency.</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D27110" w:rsidRPr="004971D5" w:rsidRDefault="00D27110" w:rsidP="004971D5">
      <w:pPr>
        <w:pStyle w:val="Heading1"/>
      </w:pPr>
      <w:r w:rsidRPr="004971D5">
        <w:t>R7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Default="00D27110">
      <w:pPr>
        <w:pStyle w:val="Requirement"/>
        <w:rPr>
          <w:b/>
          <w:i/>
          <w:iCs/>
          <w:color w:val="C00000"/>
          <w:sz w:val="24"/>
        </w:rPr>
      </w:pPr>
    </w:p>
    <w:p w:rsidR="00B171F9" w:rsidRDefault="00B171F9">
      <w:pPr>
        <w:pStyle w:val="Requirement"/>
        <w:rPr>
          <w:sz w:val="24"/>
        </w:rPr>
      </w:pPr>
      <w:r>
        <w:rPr>
          <w:b/>
          <w:i/>
          <w:iCs/>
          <w:color w:val="C00000"/>
          <w:sz w:val="24"/>
        </w:rPr>
        <w:t>This section must be completed by the Compliance Enforcement Authority.</w:t>
      </w:r>
    </w:p>
    <w:p w:rsidR="004971D5" w:rsidRDefault="004971D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R7.</w:t>
      </w: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Pr="00D27110" w:rsidRDefault="00B171F9">
      <w:pPr>
        <w:widowControl w:val="0"/>
        <w:tabs>
          <w:tab w:val="left" w:pos="900"/>
          <w:tab w:val="left" w:pos="1620"/>
          <w:tab w:val="left" w:pos="6360"/>
        </w:tabs>
        <w:spacing w:line="29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monitors system frequency.</w:t>
      </w:r>
    </w:p>
    <w:p w:rsidR="00B171F9" w:rsidRDefault="00B171F9">
      <w:pPr>
        <w:widowControl w:val="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rsidP="00C72736">
      <w:pPr>
        <w:pStyle w:val="Heading1"/>
      </w:pPr>
      <w:r>
        <w:rPr>
          <w:rFonts w:ascii="Times New Roman" w:hAnsi="Times New Roman" w:cs="Times New Roman"/>
          <w:sz w:val="24"/>
          <w:szCs w:val="24"/>
        </w:rPr>
        <w:br w:type="page"/>
      </w:r>
      <w:bookmarkStart w:id="1" w:name="RSAW"/>
      <w:bookmarkEnd w:id="1"/>
      <w:r>
        <w:t>Supplemental Information</w:t>
      </w:r>
    </w:p>
    <w:p w:rsidR="00B171F9" w:rsidRDefault="00B171F9">
      <w:pPr>
        <w:widowControl w:val="0"/>
        <w:tabs>
          <w:tab w:val="left" w:pos="60"/>
        </w:tabs>
        <w:spacing w:line="240" w:lineRule="exact"/>
        <w:rPr>
          <w:rFonts w:ascii="Times New Roman" w:hAnsi="Times New Roman" w:cs="Times New Roman"/>
          <w:b/>
          <w:bCs/>
          <w:color w:val="264D74"/>
          <w:sz w:val="24"/>
          <w:szCs w:val="24"/>
        </w:rPr>
      </w:pPr>
    </w:p>
    <w:p w:rsidR="003B4C8E" w:rsidRPr="003B4C8E" w:rsidRDefault="003B4C8E" w:rsidP="003B4C8E">
      <w:pPr>
        <w:spacing w:line="284" w:lineRule="atLeast"/>
        <w:rPr>
          <w:rFonts w:ascii="Times New Roman" w:hAnsi="Times New Roman" w:cs="Times New Roman"/>
          <w:sz w:val="24"/>
          <w:szCs w:val="24"/>
        </w:rPr>
      </w:pPr>
      <w:r w:rsidRPr="003B4C8E">
        <w:rPr>
          <w:rStyle w:val="Strong"/>
          <w:rFonts w:ascii="Times New Roman" w:hAnsi="Times New Roman" w:cs="Times New Roman"/>
          <w:sz w:val="24"/>
          <w:szCs w:val="24"/>
        </w:rPr>
        <w:t xml:space="preserve">Other </w:t>
      </w:r>
      <w:r w:rsidRPr="003B4C8E">
        <w:rPr>
          <w:rStyle w:val="Strong"/>
          <w:rFonts w:ascii="Times New Roman" w:hAnsi="Times New Roman" w:cs="Times New Roman"/>
          <w:sz w:val="24"/>
          <w:szCs w:val="24"/>
        </w:rPr>
        <w:noBreakHyphen/>
      </w:r>
      <w:r w:rsidRPr="003B4C8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B4C8E">
        <w:rPr>
          <w:rStyle w:val="Strong"/>
          <w:rFonts w:ascii="Times New Roman" w:hAnsi="Times New Roman" w:cs="Times New Roman"/>
          <w:b w:val="0"/>
          <w:sz w:val="24"/>
          <w:szCs w:val="24"/>
        </w:rPr>
        <w:t xml:space="preserve">, </w:t>
      </w:r>
      <w:r w:rsidRPr="003B4C8E">
        <w:rPr>
          <w:rStyle w:val="Strong"/>
          <w:rFonts w:ascii="Times New Roman" w:hAnsi="Times New Roman" w:cs="Times New Roman"/>
          <w:sz w:val="24"/>
          <w:szCs w:val="24"/>
          <w:u w:val="single"/>
        </w:rPr>
        <w:t>as necessary</w:t>
      </w:r>
      <w:r w:rsidRPr="003B4C8E">
        <w:rPr>
          <w:rStyle w:val="Strong"/>
          <w:rFonts w:ascii="Times New Roman" w:hAnsi="Times New Roman" w:cs="Times New Roman"/>
          <w:b w:val="0"/>
          <w:sz w:val="24"/>
          <w:szCs w:val="24"/>
        </w:rPr>
        <w:t xml:space="preserve"> that</w:t>
      </w:r>
      <w:r w:rsidRPr="003B4C8E">
        <w:rPr>
          <w:rFonts w:ascii="Times New Roman" w:hAnsi="Times New Roman" w:cs="Times New Roman"/>
          <w:b/>
          <w:sz w:val="24"/>
          <w:szCs w:val="24"/>
        </w:rPr>
        <w:t xml:space="preserve"> </w:t>
      </w:r>
      <w:r w:rsidRPr="003B4C8E">
        <w:rPr>
          <w:rFonts w:ascii="Times New Roman" w:hAnsi="Times New Roman" w:cs="Times New Roman"/>
          <w:sz w:val="24"/>
          <w:szCs w:val="24"/>
        </w:rPr>
        <w:t>demonstrates compliance with this Reliability Standard.</w:t>
      </w:r>
    </w:p>
    <w:p w:rsidR="00B171F9" w:rsidRDefault="00B171F9">
      <w:pPr>
        <w:widowControl w:val="0"/>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8304B">
        <w:rPr>
          <w:rFonts w:ascii="Times New Roman" w:hAnsi="Times New Roman" w:cs="Times New Roman"/>
          <w:b/>
          <w:bCs/>
          <w:sz w:val="24"/>
          <w:szCs w:val="24"/>
        </w:rPr>
        <w:t>Entity</w:t>
      </w:r>
      <w:r w:rsidRPr="00F8304B">
        <w:rPr>
          <w:rFonts w:ascii="Times New Roman" w:hAnsi="Times New Roman" w:cs="Times New Roman"/>
          <w:sz w:val="24"/>
          <w:szCs w:val="24"/>
        </w:rPr>
        <w:t xml:space="preserve"> </w:t>
      </w:r>
      <w:r w:rsidRPr="00F8304B">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171F9" w:rsidRDefault="00B171F9">
      <w:pPr>
        <w:widowControl w:val="0"/>
        <w:spacing w:line="186" w:lineRule="exact"/>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ahoma" w:hAnsi="Tahoma" w:cs="Tahoma"/>
          <w:bCs/>
          <w:color w:val="264D74"/>
          <w:sz w:val="40"/>
          <w:szCs w:val="40"/>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Heading1"/>
        <w:rPr>
          <w:sz w:val="20"/>
          <w:szCs w:val="20"/>
        </w:rPr>
      </w:pPr>
      <w:r w:rsidRPr="004971D5">
        <w:t>Compliance Findings Summary</w:t>
      </w:r>
      <w:r>
        <w:t xml:space="preserve"> </w:t>
      </w:r>
      <w:r>
        <w:rPr>
          <w:sz w:val="20"/>
          <w:szCs w:val="20"/>
        </w:rPr>
        <w:t>(to be filled out by auditor)</w:t>
      </w:r>
    </w:p>
    <w:p w:rsidR="003B4C8E" w:rsidRPr="003B4C8E" w:rsidRDefault="003B4C8E" w:rsidP="003B4C8E"/>
    <w:tbl>
      <w:tblPr>
        <w:tblW w:w="0" w:type="auto"/>
        <w:tblLook w:val="00A0" w:firstRow="1" w:lastRow="0" w:firstColumn="1" w:lastColumn="0" w:noHBand="0" w:noVBand="0"/>
      </w:tblPr>
      <w:tblGrid>
        <w:gridCol w:w="692"/>
        <w:gridCol w:w="458"/>
        <w:gridCol w:w="572"/>
        <w:gridCol w:w="737"/>
        <w:gridCol w:w="563"/>
        <w:gridCol w:w="7994"/>
      </w:tblGrid>
      <w:tr w:rsidR="00D27110" w:rsidTr="00D27110">
        <w:tc>
          <w:tcPr>
            <w:tcW w:w="692"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F8304B" w:rsidP="00F8304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B171F9" w:rsidRDefault="00B171F9">
      <w:pPr>
        <w:spacing w:line="120" w:lineRule="exact"/>
        <w:rPr>
          <w:rFonts w:ascii="Times New Roman" w:hAnsi="Times New Roman" w:cs="Times New Roman"/>
          <w:sz w:val="24"/>
          <w:szCs w:val="24"/>
        </w:rPr>
      </w:pPr>
      <w:bookmarkStart w:id="2" w:name="FERC"/>
      <w:bookmarkEnd w:id="2"/>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TOP-006-1</w:t>
      </w:r>
    </w:p>
    <w:p w:rsidR="00B171F9" w:rsidRDefault="00B171F9">
      <w:pPr>
        <w:widowControl w:val="0"/>
        <w:spacing w:line="40" w:lineRule="exact"/>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b/>
          <w:sz w:val="24"/>
          <w:szCs w:val="24"/>
        </w:rPr>
        <w:t>Order No. 693</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B171F9" w:rsidRDefault="00B171F9">
      <w:pPr>
        <w:ind w:left="720"/>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1652.  TOP-006-1 requires operating personnel to continuously monitor essential Bulk-Power System parameters such as line flows, circuit breaker status, generator resources, relays, weather forecasts and frequency to ensure that the facilities do not exceed their operating limits.</w:t>
      </w:r>
    </w:p>
    <w:p w:rsidR="00B171F9" w:rsidRDefault="00B171F9">
      <w:pPr>
        <w:rPr>
          <w:rFonts w:ascii="Times New Roman" w:hAnsi="Times New Roman" w:cs="Times New Roman"/>
          <w:b/>
          <w:sz w:val="24"/>
          <w:szCs w:val="24"/>
          <w:u w:val="single"/>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1659.  The Commission approves TOP-006-1 as mandatory and enforceable….</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1665.  Accordingly, the Commission approves Reliability Standard TOP-006-1….</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b/>
          <w:sz w:val="24"/>
          <w:szCs w:val="24"/>
        </w:rPr>
      </w:pPr>
      <w:r>
        <w:rPr>
          <w:rFonts w:ascii="Times New Roman" w:hAnsi="Times New Roman" w:cs="Times New Roman"/>
          <w:b/>
          <w:sz w:val="24"/>
          <w:szCs w:val="24"/>
        </w:rPr>
        <w:t>May 18, 2007, Order on Violation Risk Factors, Docket Nos. RR07-9-000 and RR07-10-000</w:t>
      </w:r>
    </w:p>
    <w:p w:rsidR="00B171F9" w:rsidRDefault="00B171F9">
      <w:pPr>
        <w:rPr>
          <w:rFonts w:ascii="Times New Roman" w:hAnsi="Times New Roman" w:cs="Times New Roman"/>
          <w:sz w:val="24"/>
          <w:szCs w:val="24"/>
        </w:rPr>
      </w:pPr>
    </w:p>
    <w:p w:rsidR="00B171F9" w:rsidRDefault="00B171F9">
      <w:pPr>
        <w:pStyle w:val="FERCparanumberCharCharChar"/>
        <w:numPr>
          <w:ilvl w:val="0"/>
          <w:numId w:val="0"/>
        </w:numPr>
        <w:tabs>
          <w:tab w:val="left" w:pos="3942"/>
        </w:tabs>
        <w:rPr>
          <w:sz w:val="24"/>
          <w:szCs w:val="24"/>
        </w:rPr>
      </w:pPr>
      <w:r>
        <w:rPr>
          <w:sz w:val="24"/>
          <w:szCs w:val="24"/>
        </w:rPr>
        <w:t xml:space="preserve">P 32. In this category, we address a single Requirement that co-mingles a higher risk reliability objective and a lesser risk reliability objective, for example, the co-mingling of an obligation to perform an action relevant to a reliability objective with an obligation to document the action.  The Commission seeks to ensure that the Violation Risk Factor assignment for such Requirements is not watered down to reflect the lower risk level associated with the less important objective of the Reliability Standard.  </w:t>
      </w:r>
    </w:p>
    <w:p w:rsidR="00B171F9" w:rsidRDefault="00B171F9">
      <w:pPr>
        <w:pStyle w:val="FERCparanumberCharCharChar"/>
        <w:numPr>
          <w:ilvl w:val="0"/>
          <w:numId w:val="0"/>
        </w:numPr>
        <w:tabs>
          <w:tab w:val="left" w:pos="3942"/>
        </w:tabs>
        <w:rPr>
          <w:sz w:val="24"/>
          <w:szCs w:val="24"/>
        </w:rPr>
      </w:pPr>
      <w:r>
        <w:rPr>
          <w:sz w:val="24"/>
          <w:szCs w:val="24"/>
        </w:rPr>
        <w:t>P 33. For example, Reliability Standard TOP-006-1, Requirement R3 establishes a transmission operations requirement that each Reliability Coordinator, Transmission Operator, and Balancing Authority provide appropriate technical information concerning protective relays to its operating personnel.  The Requirement has both the lower risk administrative objective of providing information and the higher-risk reliability objective of ensuring situational awareness of critical reliability parameters.</w:t>
      </w:r>
    </w:p>
    <w:p w:rsidR="00B171F9" w:rsidRDefault="00B171F9">
      <w:pPr>
        <w:pStyle w:val="FERCparanumberCharCharChar"/>
        <w:numPr>
          <w:ilvl w:val="0"/>
          <w:numId w:val="0"/>
        </w:numPr>
        <w:tabs>
          <w:tab w:val="left" w:pos="3942"/>
        </w:tabs>
        <w:rPr>
          <w:sz w:val="24"/>
          <w:szCs w:val="24"/>
        </w:rPr>
      </w:pPr>
      <w:r>
        <w:rPr>
          <w:sz w:val="24"/>
          <w:szCs w:val="24"/>
        </w:rPr>
        <w:t xml:space="preserve">P 34. Similarly, Reliability Standard TOP-006-1, Requirement R4 establishes that each Reliability Coordinator, Transmission Operator, and Balancing Authority shall have information, including weather forecasts and past load patterns, available to predict the system’s near-term load pattern.  Again, in this Requirement, the administrative objective of having certain information is co-mingled with the reliability objective of accurately predicting load. </w:t>
      </w:r>
    </w:p>
    <w:p w:rsidR="00B171F9" w:rsidRDefault="00B171F9">
      <w:pPr>
        <w:pStyle w:val="FERCparanumberCharCharChar"/>
        <w:numPr>
          <w:ilvl w:val="0"/>
          <w:numId w:val="0"/>
        </w:numPr>
        <w:tabs>
          <w:tab w:val="left" w:pos="3942"/>
        </w:tabs>
        <w:rPr>
          <w:sz w:val="24"/>
          <w:szCs w:val="24"/>
        </w:rPr>
      </w:pPr>
      <w:r>
        <w:rPr>
          <w:sz w:val="24"/>
          <w:szCs w:val="24"/>
        </w:rPr>
        <w:t>P 35. In both examples, NERC assigns the Requirement a “Lower” overall Violation Risk Factor.  The Commission believes, in both examples, that an overall Violation Risk Factor assignment of “Medium” to reflect the higher risk associated with the more important reliability objective is appropriate.</w:t>
      </w:r>
    </w:p>
    <w:p w:rsidR="00B171F9" w:rsidRDefault="00B171F9">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Pr>
          <w:rFonts w:ascii="Times New Roman" w:hAnsi="Times New Roman" w:cs="Times New Roman"/>
          <w:b/>
          <w:sz w:val="24"/>
          <w:szCs w:val="24"/>
        </w:rPr>
        <w:t>November 16, 2007, Order on Compliance Filing, Docket Nos. RR07-9-003 and RR07-10-003</w:t>
      </w:r>
    </w:p>
    <w:p w:rsidR="00B171F9" w:rsidRDefault="00B171F9">
      <w:pPr>
        <w:pStyle w:val="FERCparanumber"/>
        <w:tabs>
          <w:tab w:val="clear" w:pos="720"/>
        </w:tabs>
        <w:rPr>
          <w:sz w:val="24"/>
        </w:rPr>
      </w:pPr>
      <w:r>
        <w:rPr>
          <w:sz w:val="24"/>
        </w:rPr>
        <w:t>P 63. TOP-006-1,</w:t>
      </w:r>
      <w:r>
        <w:rPr>
          <w:b/>
          <w:sz w:val="24"/>
        </w:rPr>
        <w:t xml:space="preserve"> </w:t>
      </w:r>
      <w:r>
        <w:rPr>
          <w:sz w:val="24"/>
        </w:rPr>
        <w:t xml:space="preserve">Requirement </w:t>
      </w:r>
      <w:r>
        <w:rPr>
          <w:bCs/>
          <w:iCs/>
          <w:kern w:val="32"/>
          <w:sz w:val="24"/>
        </w:rPr>
        <w:t>R3</w:t>
      </w:r>
      <w:r>
        <w:rPr>
          <w:b/>
          <w:bCs/>
          <w:iCs/>
          <w:kern w:val="32"/>
          <w:sz w:val="24"/>
        </w:rPr>
        <w:t xml:space="preserve"> </w:t>
      </w:r>
      <w:r>
        <w:rPr>
          <w:sz w:val="24"/>
        </w:rPr>
        <w:t>states that each reliability coordinator, transmission operator, and balancing authority shall provide appropriate technical information concerning protective relays to its operating personnel.</w:t>
      </w:r>
      <w:r>
        <w:rPr>
          <w:b/>
          <w:sz w:val="24"/>
        </w:rPr>
        <w:t xml:space="preserve">  </w:t>
      </w:r>
      <w:r>
        <w:rPr>
          <w:bCs/>
          <w:sz w:val="24"/>
        </w:rPr>
        <w:t xml:space="preserve">NERC has assigned a “lower” Violation Risk Factor to this Requirement, stating that </w:t>
      </w:r>
      <w:r>
        <w:rPr>
          <w:sz w:val="24"/>
        </w:rPr>
        <w:t xml:space="preserve">“appropriate technical information” is ambiguous.  </w:t>
      </w:r>
    </w:p>
    <w:p w:rsidR="00B171F9" w:rsidRDefault="00B171F9">
      <w:pPr>
        <w:pStyle w:val="FERCparanumber"/>
        <w:tabs>
          <w:tab w:val="clear" w:pos="720"/>
        </w:tabs>
        <w:rPr>
          <w:sz w:val="24"/>
        </w:rPr>
      </w:pPr>
      <w:r>
        <w:rPr>
          <w:sz w:val="24"/>
        </w:rPr>
        <w:t xml:space="preserve">P 65. Further, as stated in the May 2007 Order, the Commission expects consistency within a Reliability Standard.  Requirement R3 requires appropriate technical information concerning protective relays be provided by reliability coordinators, transmission operators, and balancing authorities.  The Commission views the provision of this information similar to that required in TOP-006-1, Requirement R1, which requires that each transmission operator and balancing authority shall know the status of all generation and transmission resources available for use.  The Commission believes each of these Requirements is relevant to ensuring situational awareness, the absence of which was identified as a principal cause of the August 14, 2003 blackout.  Further, given that the Commission approved a “medium” Violation Risk Factor assignment for TOP-006, Requirement R1, a “lower” Violation Risk Factor for Requirement R3 is inconsistent.  Therefore, the Commission directs NERC to revise the subject Violation Risk Factor to “medium.”  </w:t>
      </w:r>
    </w:p>
    <w:p w:rsidR="00D27110" w:rsidRDefault="00D27110">
      <w:pPr>
        <w:pStyle w:val="FERCparanumber"/>
        <w:tabs>
          <w:tab w:val="clear" w:pos="720"/>
        </w:tabs>
        <w:rPr>
          <w:sz w:val="24"/>
        </w:rPr>
      </w:pPr>
    </w:p>
    <w:p w:rsidR="004971D5" w:rsidRDefault="004971D5">
      <w:pPr>
        <w:pStyle w:val="FERCparanumber"/>
        <w:tabs>
          <w:tab w:val="clear" w:pos="720"/>
        </w:tabs>
        <w:rPr>
          <w:sz w:val="24"/>
        </w:rPr>
      </w:pPr>
    </w:p>
    <w:p w:rsidR="004971D5" w:rsidRDefault="004971D5">
      <w:pPr>
        <w:pStyle w:val="FERCparanumber"/>
        <w:tabs>
          <w:tab w:val="clear" w:pos="720"/>
        </w:tabs>
        <w:rPr>
          <w:sz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D27110" w:rsidRDefault="00D27110" w:rsidP="00D27110">
      <w:pPr>
        <w:rPr>
          <w:rFonts w:ascii="Times New Roman" w:hAnsi="Times New Roman" w:cs="Times New Roman"/>
          <w:b/>
          <w:sz w:val="24"/>
          <w:szCs w:val="24"/>
        </w:rPr>
      </w:pPr>
      <w:r>
        <w:rPr>
          <w:rFonts w:ascii="Times New Roman" w:hAnsi="Times New Roman" w:cs="Times New Roman"/>
          <w:b/>
          <w:sz w:val="24"/>
          <w:szCs w:val="24"/>
        </w:rPr>
        <w:t>Revision History</w:t>
      </w:r>
    </w:p>
    <w:p w:rsidR="00D27110" w:rsidRDefault="00D27110" w:rsidP="00D271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27110" w:rsidTr="00D2711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27110" w:rsidRDefault="00D2711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27110" w:rsidTr="00D27110">
        <w:tc>
          <w:tcPr>
            <w:tcW w:w="1016" w:type="dxa"/>
            <w:tcBorders>
              <w:top w:val="single" w:sz="4" w:space="0" w:color="000000"/>
              <w:left w:val="single" w:sz="4" w:space="0" w:color="000000"/>
              <w:bottom w:val="single" w:sz="4" w:space="0" w:color="000000"/>
              <w:right w:val="single" w:sz="4" w:space="0" w:color="000000"/>
            </w:tcBorders>
            <w:hideMark/>
          </w:tcPr>
          <w:p w:rsidR="00D27110" w:rsidRDefault="00D2711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27110" w:rsidRDefault="00D27110" w:rsidP="004971D5">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27110" w:rsidRDefault="00D27110">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27110" w:rsidRDefault="00D27110" w:rsidP="00D27110">
            <w:pPr>
              <w:rPr>
                <w:rFonts w:ascii="Times New Roman" w:hAnsi="Times New Roman" w:cs="Times New Roman"/>
                <w:sz w:val="24"/>
                <w:szCs w:val="24"/>
              </w:rPr>
            </w:pPr>
            <w:r>
              <w:rPr>
                <w:rFonts w:ascii="Times New Roman" w:hAnsi="Times New Roman" w:cs="Times New Roman"/>
                <w:sz w:val="24"/>
                <w:szCs w:val="24"/>
              </w:rPr>
              <w:t xml:space="preserve">Revised Findings </w:t>
            </w:r>
            <w:r w:rsidR="004971D5">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 added Revision History and added Compliance Assessment Approaches to R1, R3, R4 and R5.</w:t>
            </w:r>
          </w:p>
        </w:tc>
      </w:tr>
      <w:tr w:rsidR="004971D5" w:rsidTr="00083CF0">
        <w:tc>
          <w:tcPr>
            <w:tcW w:w="1016" w:type="dxa"/>
            <w:tcBorders>
              <w:top w:val="single" w:sz="4" w:space="0" w:color="000000"/>
              <w:left w:val="single" w:sz="4" w:space="0" w:color="000000"/>
              <w:bottom w:val="single" w:sz="4" w:space="0" w:color="000000"/>
              <w:right w:val="single" w:sz="4" w:space="0" w:color="000000"/>
            </w:tcBorders>
          </w:tcPr>
          <w:p w:rsidR="004971D5" w:rsidRDefault="004971D5" w:rsidP="00083CF0">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4971D5" w:rsidRDefault="004971D5" w:rsidP="00083CF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4971D5" w:rsidRDefault="004971D5" w:rsidP="00083CF0">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4971D5" w:rsidRDefault="004971D5" w:rsidP="00083CF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vAlign w:val="center"/>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D27110" w:rsidRDefault="00D27110">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D27110" w:rsidRDefault="00D27110">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r w:rsidR="00D27110" w:rsidTr="00D27110">
        <w:tc>
          <w:tcPr>
            <w:tcW w:w="1016" w:type="dxa"/>
            <w:tcBorders>
              <w:top w:val="single" w:sz="4" w:space="0" w:color="000000"/>
              <w:left w:val="single" w:sz="4" w:space="0" w:color="000000"/>
              <w:bottom w:val="single" w:sz="4" w:space="0" w:color="000000"/>
              <w:right w:val="single" w:sz="4" w:space="0" w:color="000000"/>
            </w:tcBorders>
          </w:tcPr>
          <w:p w:rsidR="00D27110" w:rsidRDefault="00D27110">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27110" w:rsidRDefault="00D27110">
            <w:pPr>
              <w:rPr>
                <w:rFonts w:ascii="Times New Roman" w:hAnsi="Times New Roman" w:cs="Times New Roman"/>
                <w:sz w:val="24"/>
                <w:szCs w:val="24"/>
              </w:rPr>
            </w:pPr>
          </w:p>
        </w:tc>
      </w:tr>
    </w:tbl>
    <w:p w:rsidR="00D27110" w:rsidRDefault="00D27110">
      <w:pPr>
        <w:pStyle w:val="FERCparanumber"/>
        <w:tabs>
          <w:tab w:val="clear" w:pos="720"/>
        </w:tabs>
        <w:rPr>
          <w:sz w:val="24"/>
        </w:rPr>
      </w:pPr>
    </w:p>
    <w:sectPr w:rsidR="00D2711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078" w:rsidRDefault="00250078">
      <w:r>
        <w:separator/>
      </w:r>
    </w:p>
  </w:endnote>
  <w:endnote w:type="continuationSeparator" w:id="0">
    <w:p w:rsidR="00250078" w:rsidRDefault="0025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5F8" w:rsidRDefault="000E45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3B4C8E" w:rsidRDefault="003B4C8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RSAW_TOP-006-1_201</w:t>
    </w:r>
    <w:r w:rsidR="001A00FA">
      <w:rPr>
        <w:rFonts w:ascii="Times New Roman" w:hAnsi="Times New Roman"/>
        <w:sz w:val="18"/>
        <w:szCs w:val="18"/>
      </w:rPr>
      <w:t>1</w:t>
    </w:r>
    <w:r>
      <w:rPr>
        <w:rFonts w:ascii="Times New Roman" w:hAnsi="Times New Roman"/>
        <w:sz w:val="18"/>
        <w:szCs w:val="18"/>
      </w:rPr>
      <w:t>_v1</w:t>
    </w:r>
  </w:p>
  <w:p w:rsidR="003B4C8E" w:rsidRDefault="003B4C8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A00FA">
      <w:rPr>
        <w:rFonts w:ascii="Times New Roman" w:hAnsi="Times New Roman" w:cs="Times New Roman"/>
        <w:color w:val="000000"/>
        <w:sz w:val="18"/>
        <w:szCs w:val="18"/>
      </w:rPr>
      <w:t>January 2011</w:t>
    </w:r>
  </w:p>
  <w:p w:rsidR="003B4C8E" w:rsidRDefault="003B4C8E">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5B626B">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5F8" w:rsidRDefault="000E45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078" w:rsidRDefault="00250078">
      <w:r>
        <w:separator/>
      </w:r>
    </w:p>
  </w:footnote>
  <w:footnote w:type="continuationSeparator" w:id="0">
    <w:p w:rsidR="00250078" w:rsidRDefault="00250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5F8" w:rsidRDefault="000E45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240" w:lineRule="exact"/>
      <w:rPr>
        <w:rFonts w:cs="Times New Roman"/>
      </w:rPr>
    </w:pPr>
  </w:p>
  <w:p w:rsidR="003B4C8E" w:rsidRDefault="003B4C8E">
    <w:pPr>
      <w:widowControl w:val="0"/>
      <w:spacing w:line="240" w:lineRule="exact"/>
      <w:rPr>
        <w:rFonts w:cs="Times New Roman"/>
      </w:rPr>
    </w:pPr>
  </w:p>
  <w:p w:rsidR="003B4C8E" w:rsidRDefault="003B4C8E" w:rsidP="001A00F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3B4C8E" w:rsidRDefault="000E45F8" w:rsidP="001A00FA">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B4C8E" w:rsidRDefault="004C07F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B4C8E" w:rsidRDefault="003B4C8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5F8" w:rsidRDefault="000E45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A31CFE1E"/>
    <w:lvl w:ilvl="0">
      <w:start w:val="2"/>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04B61214"/>
    <w:lvl w:ilvl="0" w:tplc="A11C45D6">
      <w:start w:val="1"/>
      <w:numFmt w:val="decimal"/>
      <w:pStyle w:val="FERCparanumberCharCharChar"/>
      <w:lvlText w:val="%1."/>
      <w:lvlJc w:val="left"/>
      <w:pPr>
        <w:tabs>
          <w:tab w:val="num" w:pos="720"/>
        </w:tabs>
        <w:ind w:left="0" w:firstLine="0"/>
      </w:pPr>
      <w:rPr>
        <w:rFonts w:hint="default"/>
        <w:b w:val="0"/>
      </w:rPr>
    </w:lvl>
    <w:lvl w:ilvl="1" w:tplc="BED6A5C8">
      <w:start w:val="2"/>
      <w:numFmt w:val="lowerRoman"/>
      <w:lvlText w:val="%2."/>
      <w:lvlJc w:val="right"/>
      <w:pPr>
        <w:tabs>
          <w:tab w:val="num" w:pos="1260"/>
        </w:tabs>
        <w:ind w:left="1260" w:hanging="18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4B"/>
    <w:rsid w:val="00083CF0"/>
    <w:rsid w:val="000E45F8"/>
    <w:rsid w:val="001A00FA"/>
    <w:rsid w:val="00250078"/>
    <w:rsid w:val="0039012F"/>
    <w:rsid w:val="003B4C8E"/>
    <w:rsid w:val="004971D5"/>
    <w:rsid w:val="004C07F7"/>
    <w:rsid w:val="0051367A"/>
    <w:rsid w:val="005B626B"/>
    <w:rsid w:val="008538B1"/>
    <w:rsid w:val="009C4FA8"/>
    <w:rsid w:val="00B171F9"/>
    <w:rsid w:val="00C70463"/>
    <w:rsid w:val="00C72736"/>
    <w:rsid w:val="00D27110"/>
    <w:rsid w:val="00F14ECD"/>
    <w:rsid w:val="00F8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AA7D243-FD25-4711-981B-BDB860A6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110"/>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Requirement">
    <w:name w:val="Requirement"/>
    <w:basedOn w:val="List2"/>
    <w:link w:val="RequirementChar"/>
    <w:autoRedefine/>
    <w:pPr>
      <w:autoSpaceDE/>
      <w:autoSpaceDN/>
      <w:adjustRightInd/>
      <w:ind w:hanging="720"/>
      <w:contextualSpacing w:val="0"/>
    </w:pPr>
    <w:rPr>
      <w:rFonts w:ascii="Times New Roman" w:hAnsi="Times New Roman" w:cs="Times New Roman"/>
      <w:sz w:val="22"/>
      <w:szCs w:val="24"/>
    </w:rPr>
  </w:style>
  <w:style w:type="character" w:customStyle="1" w:styleId="RequirementChar">
    <w:name w:val="Requirement Char"/>
    <w:link w:val="Requirement"/>
    <w:rPr>
      <w:sz w:val="22"/>
      <w:szCs w:val="24"/>
      <w:lang w:val="en-US" w:eastAsia="en-US" w:bidi="ar-SA"/>
    </w:rPr>
  </w:style>
  <w:style w:type="paragraph" w:styleId="List2">
    <w:name w:val="List 2"/>
    <w:basedOn w:val="Normal"/>
    <w:uiPriority w:val="99"/>
    <w:semiHidden/>
    <w:unhideWhenUsed/>
    <w:pPr>
      <w:ind w:left="720" w:hanging="360"/>
      <w:contextualSpacing/>
    </w:p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FERCparanumberCharCharChar">
    <w:name w:val="FERC paranumber Char Char Char"/>
    <w:basedOn w:val="Normal"/>
    <w:link w:val="FERCparanumberCharCharCharChar"/>
    <w:pPr>
      <w:numPr>
        <w:numId w:val="3"/>
      </w:numPr>
      <w:spacing w:after="240"/>
    </w:pPr>
    <w:rPr>
      <w:rFonts w:ascii="Times New Roman" w:hAnsi="Times New Roman" w:cs="Times New Roman"/>
      <w:sz w:val="26"/>
      <w:szCs w:val="26"/>
    </w:rPr>
  </w:style>
  <w:style w:type="character" w:customStyle="1" w:styleId="FERCparanumberCharCharCharChar">
    <w:name w:val="FERC paranumber Char Char Char Char"/>
    <w:link w:val="FERCparanumberCharCharChar"/>
    <w:rPr>
      <w:sz w:val="26"/>
      <w:szCs w:val="26"/>
      <w:lang w:val="en-US" w:eastAsia="en-US" w:bidi="ar-SA"/>
    </w:rPr>
  </w:style>
  <w:style w:type="character" w:customStyle="1" w:styleId="FERCparanumberChar">
    <w:name w:val="FERC paranumber Char"/>
    <w:link w:val="FERCparanumber"/>
    <w:rPr>
      <w:sz w:val="26"/>
      <w:szCs w:val="24"/>
      <w:lang w:val="en-US" w:eastAsia="en-US" w:bidi="ar-SA"/>
    </w:rPr>
  </w:style>
  <w:style w:type="paragraph" w:customStyle="1" w:styleId="FERCparanumber">
    <w:name w:val="FERC paranumber"/>
    <w:basedOn w:val="Normal"/>
    <w:link w:val="FERCparanumberChar"/>
    <w:pPr>
      <w:tabs>
        <w:tab w:val="num" w:pos="720"/>
      </w:tabs>
      <w:spacing w:after="240"/>
    </w:pPr>
    <w:rPr>
      <w:rFonts w:ascii="Times New Roman" w:hAnsi="Times New Roman" w:cs="Times New Roman"/>
      <w:sz w:val="26"/>
      <w:szCs w:val="24"/>
    </w:rPr>
  </w:style>
  <w:style w:type="character" w:styleId="Strong">
    <w:name w:val="Strong"/>
    <w:qFormat/>
    <w:rsid w:val="003B4C8E"/>
    <w:rPr>
      <w:b/>
      <w:bCs/>
    </w:rPr>
  </w:style>
  <w:style w:type="character" w:customStyle="1" w:styleId="Heading1Char">
    <w:name w:val="Heading 1 Char"/>
    <w:link w:val="Heading1"/>
    <w:rsid w:val="00C70463"/>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662">
      <w:bodyDiv w:val="1"/>
      <w:marLeft w:val="0"/>
      <w:marRight w:val="0"/>
      <w:marTop w:val="0"/>
      <w:marBottom w:val="0"/>
      <w:divBdr>
        <w:top w:val="none" w:sz="0" w:space="0" w:color="auto"/>
        <w:left w:val="none" w:sz="0" w:space="0" w:color="auto"/>
        <w:bottom w:val="none" w:sz="0" w:space="0" w:color="auto"/>
        <w:right w:val="none" w:sz="0" w:space="0" w:color="auto"/>
      </w:divBdr>
    </w:div>
    <w:div w:id="30688180">
      <w:bodyDiv w:val="1"/>
      <w:marLeft w:val="0"/>
      <w:marRight w:val="0"/>
      <w:marTop w:val="0"/>
      <w:marBottom w:val="0"/>
      <w:divBdr>
        <w:top w:val="none" w:sz="0" w:space="0" w:color="auto"/>
        <w:left w:val="none" w:sz="0" w:space="0" w:color="auto"/>
        <w:bottom w:val="none" w:sz="0" w:space="0" w:color="auto"/>
        <w:right w:val="none" w:sz="0" w:space="0" w:color="auto"/>
      </w:divBdr>
    </w:div>
    <w:div w:id="69740154">
      <w:bodyDiv w:val="1"/>
      <w:marLeft w:val="0"/>
      <w:marRight w:val="0"/>
      <w:marTop w:val="0"/>
      <w:marBottom w:val="0"/>
      <w:divBdr>
        <w:top w:val="none" w:sz="0" w:space="0" w:color="auto"/>
        <w:left w:val="none" w:sz="0" w:space="0" w:color="auto"/>
        <w:bottom w:val="none" w:sz="0" w:space="0" w:color="auto"/>
        <w:right w:val="none" w:sz="0" w:space="0" w:color="auto"/>
      </w:divBdr>
    </w:div>
    <w:div w:id="79841215">
      <w:bodyDiv w:val="1"/>
      <w:marLeft w:val="0"/>
      <w:marRight w:val="0"/>
      <w:marTop w:val="0"/>
      <w:marBottom w:val="0"/>
      <w:divBdr>
        <w:top w:val="none" w:sz="0" w:space="0" w:color="auto"/>
        <w:left w:val="none" w:sz="0" w:space="0" w:color="auto"/>
        <w:bottom w:val="none" w:sz="0" w:space="0" w:color="auto"/>
        <w:right w:val="none" w:sz="0" w:space="0" w:color="auto"/>
      </w:divBdr>
    </w:div>
    <w:div w:id="106311846">
      <w:bodyDiv w:val="1"/>
      <w:marLeft w:val="0"/>
      <w:marRight w:val="0"/>
      <w:marTop w:val="0"/>
      <w:marBottom w:val="0"/>
      <w:divBdr>
        <w:top w:val="none" w:sz="0" w:space="0" w:color="auto"/>
        <w:left w:val="none" w:sz="0" w:space="0" w:color="auto"/>
        <w:bottom w:val="none" w:sz="0" w:space="0" w:color="auto"/>
        <w:right w:val="none" w:sz="0" w:space="0" w:color="auto"/>
      </w:divBdr>
    </w:div>
    <w:div w:id="109323854">
      <w:bodyDiv w:val="1"/>
      <w:marLeft w:val="0"/>
      <w:marRight w:val="0"/>
      <w:marTop w:val="0"/>
      <w:marBottom w:val="0"/>
      <w:divBdr>
        <w:top w:val="none" w:sz="0" w:space="0" w:color="auto"/>
        <w:left w:val="none" w:sz="0" w:space="0" w:color="auto"/>
        <w:bottom w:val="none" w:sz="0" w:space="0" w:color="auto"/>
        <w:right w:val="none" w:sz="0" w:space="0" w:color="auto"/>
      </w:divBdr>
    </w:div>
    <w:div w:id="164176074">
      <w:bodyDiv w:val="1"/>
      <w:marLeft w:val="0"/>
      <w:marRight w:val="0"/>
      <w:marTop w:val="0"/>
      <w:marBottom w:val="0"/>
      <w:divBdr>
        <w:top w:val="none" w:sz="0" w:space="0" w:color="auto"/>
        <w:left w:val="none" w:sz="0" w:space="0" w:color="auto"/>
        <w:bottom w:val="none" w:sz="0" w:space="0" w:color="auto"/>
        <w:right w:val="none" w:sz="0" w:space="0" w:color="auto"/>
      </w:divBdr>
    </w:div>
    <w:div w:id="172260437">
      <w:bodyDiv w:val="1"/>
      <w:marLeft w:val="0"/>
      <w:marRight w:val="0"/>
      <w:marTop w:val="0"/>
      <w:marBottom w:val="0"/>
      <w:divBdr>
        <w:top w:val="none" w:sz="0" w:space="0" w:color="auto"/>
        <w:left w:val="none" w:sz="0" w:space="0" w:color="auto"/>
        <w:bottom w:val="none" w:sz="0" w:space="0" w:color="auto"/>
        <w:right w:val="none" w:sz="0" w:space="0" w:color="auto"/>
      </w:divBdr>
    </w:div>
    <w:div w:id="186873998">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236021127">
      <w:bodyDiv w:val="1"/>
      <w:marLeft w:val="0"/>
      <w:marRight w:val="0"/>
      <w:marTop w:val="0"/>
      <w:marBottom w:val="0"/>
      <w:divBdr>
        <w:top w:val="none" w:sz="0" w:space="0" w:color="auto"/>
        <w:left w:val="none" w:sz="0" w:space="0" w:color="auto"/>
        <w:bottom w:val="none" w:sz="0" w:space="0" w:color="auto"/>
        <w:right w:val="none" w:sz="0" w:space="0" w:color="auto"/>
      </w:divBdr>
    </w:div>
    <w:div w:id="259796338">
      <w:bodyDiv w:val="1"/>
      <w:marLeft w:val="0"/>
      <w:marRight w:val="0"/>
      <w:marTop w:val="0"/>
      <w:marBottom w:val="0"/>
      <w:divBdr>
        <w:top w:val="none" w:sz="0" w:space="0" w:color="auto"/>
        <w:left w:val="none" w:sz="0" w:space="0" w:color="auto"/>
        <w:bottom w:val="none" w:sz="0" w:space="0" w:color="auto"/>
        <w:right w:val="none" w:sz="0" w:space="0" w:color="auto"/>
      </w:divBdr>
    </w:div>
    <w:div w:id="267276633">
      <w:bodyDiv w:val="1"/>
      <w:marLeft w:val="0"/>
      <w:marRight w:val="0"/>
      <w:marTop w:val="0"/>
      <w:marBottom w:val="0"/>
      <w:divBdr>
        <w:top w:val="none" w:sz="0" w:space="0" w:color="auto"/>
        <w:left w:val="none" w:sz="0" w:space="0" w:color="auto"/>
        <w:bottom w:val="none" w:sz="0" w:space="0" w:color="auto"/>
        <w:right w:val="none" w:sz="0" w:space="0" w:color="auto"/>
      </w:divBdr>
    </w:div>
    <w:div w:id="282738230">
      <w:bodyDiv w:val="1"/>
      <w:marLeft w:val="0"/>
      <w:marRight w:val="0"/>
      <w:marTop w:val="0"/>
      <w:marBottom w:val="0"/>
      <w:divBdr>
        <w:top w:val="none" w:sz="0" w:space="0" w:color="auto"/>
        <w:left w:val="none" w:sz="0" w:space="0" w:color="auto"/>
        <w:bottom w:val="none" w:sz="0" w:space="0" w:color="auto"/>
        <w:right w:val="none" w:sz="0" w:space="0" w:color="auto"/>
      </w:divBdr>
    </w:div>
    <w:div w:id="313409895">
      <w:bodyDiv w:val="1"/>
      <w:marLeft w:val="0"/>
      <w:marRight w:val="0"/>
      <w:marTop w:val="0"/>
      <w:marBottom w:val="0"/>
      <w:divBdr>
        <w:top w:val="none" w:sz="0" w:space="0" w:color="auto"/>
        <w:left w:val="none" w:sz="0" w:space="0" w:color="auto"/>
        <w:bottom w:val="none" w:sz="0" w:space="0" w:color="auto"/>
        <w:right w:val="none" w:sz="0" w:space="0" w:color="auto"/>
      </w:divBdr>
    </w:div>
    <w:div w:id="343484834">
      <w:bodyDiv w:val="1"/>
      <w:marLeft w:val="0"/>
      <w:marRight w:val="0"/>
      <w:marTop w:val="0"/>
      <w:marBottom w:val="0"/>
      <w:divBdr>
        <w:top w:val="none" w:sz="0" w:space="0" w:color="auto"/>
        <w:left w:val="none" w:sz="0" w:space="0" w:color="auto"/>
        <w:bottom w:val="none" w:sz="0" w:space="0" w:color="auto"/>
        <w:right w:val="none" w:sz="0" w:space="0" w:color="auto"/>
      </w:divBdr>
    </w:div>
    <w:div w:id="362369585">
      <w:bodyDiv w:val="1"/>
      <w:marLeft w:val="0"/>
      <w:marRight w:val="0"/>
      <w:marTop w:val="0"/>
      <w:marBottom w:val="0"/>
      <w:divBdr>
        <w:top w:val="none" w:sz="0" w:space="0" w:color="auto"/>
        <w:left w:val="none" w:sz="0" w:space="0" w:color="auto"/>
        <w:bottom w:val="none" w:sz="0" w:space="0" w:color="auto"/>
        <w:right w:val="none" w:sz="0" w:space="0" w:color="auto"/>
      </w:divBdr>
    </w:div>
    <w:div w:id="378168157">
      <w:bodyDiv w:val="1"/>
      <w:marLeft w:val="0"/>
      <w:marRight w:val="0"/>
      <w:marTop w:val="0"/>
      <w:marBottom w:val="0"/>
      <w:divBdr>
        <w:top w:val="none" w:sz="0" w:space="0" w:color="auto"/>
        <w:left w:val="none" w:sz="0" w:space="0" w:color="auto"/>
        <w:bottom w:val="none" w:sz="0" w:space="0" w:color="auto"/>
        <w:right w:val="none" w:sz="0" w:space="0" w:color="auto"/>
      </w:divBdr>
    </w:div>
    <w:div w:id="424572342">
      <w:bodyDiv w:val="1"/>
      <w:marLeft w:val="0"/>
      <w:marRight w:val="0"/>
      <w:marTop w:val="0"/>
      <w:marBottom w:val="0"/>
      <w:divBdr>
        <w:top w:val="none" w:sz="0" w:space="0" w:color="auto"/>
        <w:left w:val="none" w:sz="0" w:space="0" w:color="auto"/>
        <w:bottom w:val="none" w:sz="0" w:space="0" w:color="auto"/>
        <w:right w:val="none" w:sz="0" w:space="0" w:color="auto"/>
      </w:divBdr>
    </w:div>
    <w:div w:id="426846235">
      <w:bodyDiv w:val="1"/>
      <w:marLeft w:val="0"/>
      <w:marRight w:val="0"/>
      <w:marTop w:val="0"/>
      <w:marBottom w:val="0"/>
      <w:divBdr>
        <w:top w:val="none" w:sz="0" w:space="0" w:color="auto"/>
        <w:left w:val="none" w:sz="0" w:space="0" w:color="auto"/>
        <w:bottom w:val="none" w:sz="0" w:space="0" w:color="auto"/>
        <w:right w:val="none" w:sz="0" w:space="0" w:color="auto"/>
      </w:divBdr>
    </w:div>
    <w:div w:id="475756351">
      <w:bodyDiv w:val="1"/>
      <w:marLeft w:val="0"/>
      <w:marRight w:val="0"/>
      <w:marTop w:val="0"/>
      <w:marBottom w:val="0"/>
      <w:divBdr>
        <w:top w:val="none" w:sz="0" w:space="0" w:color="auto"/>
        <w:left w:val="none" w:sz="0" w:space="0" w:color="auto"/>
        <w:bottom w:val="none" w:sz="0" w:space="0" w:color="auto"/>
        <w:right w:val="none" w:sz="0" w:space="0" w:color="auto"/>
      </w:divBdr>
    </w:div>
    <w:div w:id="539558407">
      <w:bodyDiv w:val="1"/>
      <w:marLeft w:val="0"/>
      <w:marRight w:val="0"/>
      <w:marTop w:val="0"/>
      <w:marBottom w:val="0"/>
      <w:divBdr>
        <w:top w:val="none" w:sz="0" w:space="0" w:color="auto"/>
        <w:left w:val="none" w:sz="0" w:space="0" w:color="auto"/>
        <w:bottom w:val="none" w:sz="0" w:space="0" w:color="auto"/>
        <w:right w:val="none" w:sz="0" w:space="0" w:color="auto"/>
      </w:divBdr>
    </w:div>
    <w:div w:id="650602418">
      <w:bodyDiv w:val="1"/>
      <w:marLeft w:val="0"/>
      <w:marRight w:val="0"/>
      <w:marTop w:val="0"/>
      <w:marBottom w:val="0"/>
      <w:divBdr>
        <w:top w:val="none" w:sz="0" w:space="0" w:color="auto"/>
        <w:left w:val="none" w:sz="0" w:space="0" w:color="auto"/>
        <w:bottom w:val="none" w:sz="0" w:space="0" w:color="auto"/>
        <w:right w:val="none" w:sz="0" w:space="0" w:color="auto"/>
      </w:divBdr>
    </w:div>
    <w:div w:id="701366278">
      <w:bodyDiv w:val="1"/>
      <w:marLeft w:val="0"/>
      <w:marRight w:val="0"/>
      <w:marTop w:val="0"/>
      <w:marBottom w:val="0"/>
      <w:divBdr>
        <w:top w:val="none" w:sz="0" w:space="0" w:color="auto"/>
        <w:left w:val="none" w:sz="0" w:space="0" w:color="auto"/>
        <w:bottom w:val="none" w:sz="0" w:space="0" w:color="auto"/>
        <w:right w:val="none" w:sz="0" w:space="0" w:color="auto"/>
      </w:divBdr>
    </w:div>
    <w:div w:id="711423017">
      <w:bodyDiv w:val="1"/>
      <w:marLeft w:val="0"/>
      <w:marRight w:val="0"/>
      <w:marTop w:val="0"/>
      <w:marBottom w:val="0"/>
      <w:divBdr>
        <w:top w:val="none" w:sz="0" w:space="0" w:color="auto"/>
        <w:left w:val="none" w:sz="0" w:space="0" w:color="auto"/>
        <w:bottom w:val="none" w:sz="0" w:space="0" w:color="auto"/>
        <w:right w:val="none" w:sz="0" w:space="0" w:color="auto"/>
      </w:divBdr>
    </w:div>
    <w:div w:id="728303663">
      <w:bodyDiv w:val="1"/>
      <w:marLeft w:val="0"/>
      <w:marRight w:val="0"/>
      <w:marTop w:val="0"/>
      <w:marBottom w:val="0"/>
      <w:divBdr>
        <w:top w:val="none" w:sz="0" w:space="0" w:color="auto"/>
        <w:left w:val="none" w:sz="0" w:space="0" w:color="auto"/>
        <w:bottom w:val="none" w:sz="0" w:space="0" w:color="auto"/>
        <w:right w:val="none" w:sz="0" w:space="0" w:color="auto"/>
      </w:divBdr>
    </w:div>
    <w:div w:id="838157609">
      <w:bodyDiv w:val="1"/>
      <w:marLeft w:val="0"/>
      <w:marRight w:val="0"/>
      <w:marTop w:val="0"/>
      <w:marBottom w:val="0"/>
      <w:divBdr>
        <w:top w:val="none" w:sz="0" w:space="0" w:color="auto"/>
        <w:left w:val="none" w:sz="0" w:space="0" w:color="auto"/>
        <w:bottom w:val="none" w:sz="0" w:space="0" w:color="auto"/>
        <w:right w:val="none" w:sz="0" w:space="0" w:color="auto"/>
      </w:divBdr>
    </w:div>
    <w:div w:id="871497968">
      <w:bodyDiv w:val="1"/>
      <w:marLeft w:val="0"/>
      <w:marRight w:val="0"/>
      <w:marTop w:val="0"/>
      <w:marBottom w:val="0"/>
      <w:divBdr>
        <w:top w:val="none" w:sz="0" w:space="0" w:color="auto"/>
        <w:left w:val="none" w:sz="0" w:space="0" w:color="auto"/>
        <w:bottom w:val="none" w:sz="0" w:space="0" w:color="auto"/>
        <w:right w:val="none" w:sz="0" w:space="0" w:color="auto"/>
      </w:divBdr>
    </w:div>
    <w:div w:id="882405413">
      <w:bodyDiv w:val="1"/>
      <w:marLeft w:val="0"/>
      <w:marRight w:val="0"/>
      <w:marTop w:val="0"/>
      <w:marBottom w:val="0"/>
      <w:divBdr>
        <w:top w:val="none" w:sz="0" w:space="0" w:color="auto"/>
        <w:left w:val="none" w:sz="0" w:space="0" w:color="auto"/>
        <w:bottom w:val="none" w:sz="0" w:space="0" w:color="auto"/>
        <w:right w:val="none" w:sz="0" w:space="0" w:color="auto"/>
      </w:divBdr>
    </w:div>
    <w:div w:id="897204030">
      <w:bodyDiv w:val="1"/>
      <w:marLeft w:val="0"/>
      <w:marRight w:val="0"/>
      <w:marTop w:val="0"/>
      <w:marBottom w:val="0"/>
      <w:divBdr>
        <w:top w:val="none" w:sz="0" w:space="0" w:color="auto"/>
        <w:left w:val="none" w:sz="0" w:space="0" w:color="auto"/>
        <w:bottom w:val="none" w:sz="0" w:space="0" w:color="auto"/>
        <w:right w:val="none" w:sz="0" w:space="0" w:color="auto"/>
      </w:divBdr>
    </w:div>
    <w:div w:id="908002059">
      <w:bodyDiv w:val="1"/>
      <w:marLeft w:val="0"/>
      <w:marRight w:val="0"/>
      <w:marTop w:val="0"/>
      <w:marBottom w:val="0"/>
      <w:divBdr>
        <w:top w:val="none" w:sz="0" w:space="0" w:color="auto"/>
        <w:left w:val="none" w:sz="0" w:space="0" w:color="auto"/>
        <w:bottom w:val="none" w:sz="0" w:space="0" w:color="auto"/>
        <w:right w:val="none" w:sz="0" w:space="0" w:color="auto"/>
      </w:divBdr>
    </w:div>
    <w:div w:id="958341499">
      <w:bodyDiv w:val="1"/>
      <w:marLeft w:val="0"/>
      <w:marRight w:val="0"/>
      <w:marTop w:val="0"/>
      <w:marBottom w:val="0"/>
      <w:divBdr>
        <w:top w:val="none" w:sz="0" w:space="0" w:color="auto"/>
        <w:left w:val="none" w:sz="0" w:space="0" w:color="auto"/>
        <w:bottom w:val="none" w:sz="0" w:space="0" w:color="auto"/>
        <w:right w:val="none" w:sz="0" w:space="0" w:color="auto"/>
      </w:divBdr>
    </w:div>
    <w:div w:id="963389529">
      <w:bodyDiv w:val="1"/>
      <w:marLeft w:val="0"/>
      <w:marRight w:val="0"/>
      <w:marTop w:val="0"/>
      <w:marBottom w:val="0"/>
      <w:divBdr>
        <w:top w:val="none" w:sz="0" w:space="0" w:color="auto"/>
        <w:left w:val="none" w:sz="0" w:space="0" w:color="auto"/>
        <w:bottom w:val="none" w:sz="0" w:space="0" w:color="auto"/>
        <w:right w:val="none" w:sz="0" w:space="0" w:color="auto"/>
      </w:divBdr>
    </w:div>
    <w:div w:id="976103924">
      <w:bodyDiv w:val="1"/>
      <w:marLeft w:val="0"/>
      <w:marRight w:val="0"/>
      <w:marTop w:val="0"/>
      <w:marBottom w:val="0"/>
      <w:divBdr>
        <w:top w:val="none" w:sz="0" w:space="0" w:color="auto"/>
        <w:left w:val="none" w:sz="0" w:space="0" w:color="auto"/>
        <w:bottom w:val="none" w:sz="0" w:space="0" w:color="auto"/>
        <w:right w:val="none" w:sz="0" w:space="0" w:color="auto"/>
      </w:divBdr>
    </w:div>
    <w:div w:id="1074277785">
      <w:bodyDiv w:val="1"/>
      <w:marLeft w:val="0"/>
      <w:marRight w:val="0"/>
      <w:marTop w:val="0"/>
      <w:marBottom w:val="0"/>
      <w:divBdr>
        <w:top w:val="none" w:sz="0" w:space="0" w:color="auto"/>
        <w:left w:val="none" w:sz="0" w:space="0" w:color="auto"/>
        <w:bottom w:val="none" w:sz="0" w:space="0" w:color="auto"/>
        <w:right w:val="none" w:sz="0" w:space="0" w:color="auto"/>
      </w:divBdr>
    </w:div>
    <w:div w:id="1086534103">
      <w:bodyDiv w:val="1"/>
      <w:marLeft w:val="0"/>
      <w:marRight w:val="0"/>
      <w:marTop w:val="0"/>
      <w:marBottom w:val="0"/>
      <w:divBdr>
        <w:top w:val="none" w:sz="0" w:space="0" w:color="auto"/>
        <w:left w:val="none" w:sz="0" w:space="0" w:color="auto"/>
        <w:bottom w:val="none" w:sz="0" w:space="0" w:color="auto"/>
        <w:right w:val="none" w:sz="0" w:space="0" w:color="auto"/>
      </w:divBdr>
    </w:div>
    <w:div w:id="1096024647">
      <w:bodyDiv w:val="1"/>
      <w:marLeft w:val="0"/>
      <w:marRight w:val="0"/>
      <w:marTop w:val="0"/>
      <w:marBottom w:val="0"/>
      <w:divBdr>
        <w:top w:val="none" w:sz="0" w:space="0" w:color="auto"/>
        <w:left w:val="none" w:sz="0" w:space="0" w:color="auto"/>
        <w:bottom w:val="none" w:sz="0" w:space="0" w:color="auto"/>
        <w:right w:val="none" w:sz="0" w:space="0" w:color="auto"/>
      </w:divBdr>
    </w:div>
    <w:div w:id="1110927978">
      <w:bodyDiv w:val="1"/>
      <w:marLeft w:val="0"/>
      <w:marRight w:val="0"/>
      <w:marTop w:val="0"/>
      <w:marBottom w:val="0"/>
      <w:divBdr>
        <w:top w:val="none" w:sz="0" w:space="0" w:color="auto"/>
        <w:left w:val="none" w:sz="0" w:space="0" w:color="auto"/>
        <w:bottom w:val="none" w:sz="0" w:space="0" w:color="auto"/>
        <w:right w:val="none" w:sz="0" w:space="0" w:color="auto"/>
      </w:divBdr>
    </w:div>
    <w:div w:id="1116364494">
      <w:bodyDiv w:val="1"/>
      <w:marLeft w:val="0"/>
      <w:marRight w:val="0"/>
      <w:marTop w:val="0"/>
      <w:marBottom w:val="0"/>
      <w:divBdr>
        <w:top w:val="none" w:sz="0" w:space="0" w:color="auto"/>
        <w:left w:val="none" w:sz="0" w:space="0" w:color="auto"/>
        <w:bottom w:val="none" w:sz="0" w:space="0" w:color="auto"/>
        <w:right w:val="none" w:sz="0" w:space="0" w:color="auto"/>
      </w:divBdr>
    </w:div>
    <w:div w:id="1171524389">
      <w:bodyDiv w:val="1"/>
      <w:marLeft w:val="0"/>
      <w:marRight w:val="0"/>
      <w:marTop w:val="0"/>
      <w:marBottom w:val="0"/>
      <w:divBdr>
        <w:top w:val="none" w:sz="0" w:space="0" w:color="auto"/>
        <w:left w:val="none" w:sz="0" w:space="0" w:color="auto"/>
        <w:bottom w:val="none" w:sz="0" w:space="0" w:color="auto"/>
        <w:right w:val="none" w:sz="0" w:space="0" w:color="auto"/>
      </w:divBdr>
    </w:div>
    <w:div w:id="1203593036">
      <w:bodyDiv w:val="1"/>
      <w:marLeft w:val="0"/>
      <w:marRight w:val="0"/>
      <w:marTop w:val="0"/>
      <w:marBottom w:val="0"/>
      <w:divBdr>
        <w:top w:val="none" w:sz="0" w:space="0" w:color="auto"/>
        <w:left w:val="none" w:sz="0" w:space="0" w:color="auto"/>
        <w:bottom w:val="none" w:sz="0" w:space="0" w:color="auto"/>
        <w:right w:val="none" w:sz="0" w:space="0" w:color="auto"/>
      </w:divBdr>
    </w:div>
    <w:div w:id="1205365777">
      <w:bodyDiv w:val="1"/>
      <w:marLeft w:val="0"/>
      <w:marRight w:val="0"/>
      <w:marTop w:val="0"/>
      <w:marBottom w:val="0"/>
      <w:divBdr>
        <w:top w:val="none" w:sz="0" w:space="0" w:color="auto"/>
        <w:left w:val="none" w:sz="0" w:space="0" w:color="auto"/>
        <w:bottom w:val="none" w:sz="0" w:space="0" w:color="auto"/>
        <w:right w:val="none" w:sz="0" w:space="0" w:color="auto"/>
      </w:divBdr>
    </w:div>
    <w:div w:id="1257861062">
      <w:bodyDiv w:val="1"/>
      <w:marLeft w:val="0"/>
      <w:marRight w:val="0"/>
      <w:marTop w:val="0"/>
      <w:marBottom w:val="0"/>
      <w:divBdr>
        <w:top w:val="none" w:sz="0" w:space="0" w:color="auto"/>
        <w:left w:val="none" w:sz="0" w:space="0" w:color="auto"/>
        <w:bottom w:val="none" w:sz="0" w:space="0" w:color="auto"/>
        <w:right w:val="none" w:sz="0" w:space="0" w:color="auto"/>
      </w:divBdr>
    </w:div>
    <w:div w:id="1299798432">
      <w:bodyDiv w:val="1"/>
      <w:marLeft w:val="0"/>
      <w:marRight w:val="0"/>
      <w:marTop w:val="0"/>
      <w:marBottom w:val="0"/>
      <w:divBdr>
        <w:top w:val="none" w:sz="0" w:space="0" w:color="auto"/>
        <w:left w:val="none" w:sz="0" w:space="0" w:color="auto"/>
        <w:bottom w:val="none" w:sz="0" w:space="0" w:color="auto"/>
        <w:right w:val="none" w:sz="0" w:space="0" w:color="auto"/>
      </w:divBdr>
    </w:div>
    <w:div w:id="1317034551">
      <w:bodyDiv w:val="1"/>
      <w:marLeft w:val="0"/>
      <w:marRight w:val="0"/>
      <w:marTop w:val="0"/>
      <w:marBottom w:val="0"/>
      <w:divBdr>
        <w:top w:val="none" w:sz="0" w:space="0" w:color="auto"/>
        <w:left w:val="none" w:sz="0" w:space="0" w:color="auto"/>
        <w:bottom w:val="none" w:sz="0" w:space="0" w:color="auto"/>
        <w:right w:val="none" w:sz="0" w:space="0" w:color="auto"/>
      </w:divBdr>
    </w:div>
    <w:div w:id="1326593723">
      <w:bodyDiv w:val="1"/>
      <w:marLeft w:val="0"/>
      <w:marRight w:val="0"/>
      <w:marTop w:val="0"/>
      <w:marBottom w:val="0"/>
      <w:divBdr>
        <w:top w:val="none" w:sz="0" w:space="0" w:color="auto"/>
        <w:left w:val="none" w:sz="0" w:space="0" w:color="auto"/>
        <w:bottom w:val="none" w:sz="0" w:space="0" w:color="auto"/>
        <w:right w:val="none" w:sz="0" w:space="0" w:color="auto"/>
      </w:divBdr>
    </w:div>
    <w:div w:id="1352880513">
      <w:bodyDiv w:val="1"/>
      <w:marLeft w:val="0"/>
      <w:marRight w:val="0"/>
      <w:marTop w:val="0"/>
      <w:marBottom w:val="0"/>
      <w:divBdr>
        <w:top w:val="none" w:sz="0" w:space="0" w:color="auto"/>
        <w:left w:val="none" w:sz="0" w:space="0" w:color="auto"/>
        <w:bottom w:val="none" w:sz="0" w:space="0" w:color="auto"/>
        <w:right w:val="none" w:sz="0" w:space="0" w:color="auto"/>
      </w:divBdr>
    </w:div>
    <w:div w:id="1425688165">
      <w:bodyDiv w:val="1"/>
      <w:marLeft w:val="0"/>
      <w:marRight w:val="0"/>
      <w:marTop w:val="0"/>
      <w:marBottom w:val="0"/>
      <w:divBdr>
        <w:top w:val="none" w:sz="0" w:space="0" w:color="auto"/>
        <w:left w:val="none" w:sz="0" w:space="0" w:color="auto"/>
        <w:bottom w:val="none" w:sz="0" w:space="0" w:color="auto"/>
        <w:right w:val="none" w:sz="0" w:space="0" w:color="auto"/>
      </w:divBdr>
    </w:div>
    <w:div w:id="1431463901">
      <w:bodyDiv w:val="1"/>
      <w:marLeft w:val="0"/>
      <w:marRight w:val="0"/>
      <w:marTop w:val="0"/>
      <w:marBottom w:val="0"/>
      <w:divBdr>
        <w:top w:val="none" w:sz="0" w:space="0" w:color="auto"/>
        <w:left w:val="none" w:sz="0" w:space="0" w:color="auto"/>
        <w:bottom w:val="none" w:sz="0" w:space="0" w:color="auto"/>
        <w:right w:val="none" w:sz="0" w:space="0" w:color="auto"/>
      </w:divBdr>
    </w:div>
    <w:div w:id="1433553785">
      <w:bodyDiv w:val="1"/>
      <w:marLeft w:val="0"/>
      <w:marRight w:val="0"/>
      <w:marTop w:val="0"/>
      <w:marBottom w:val="0"/>
      <w:divBdr>
        <w:top w:val="none" w:sz="0" w:space="0" w:color="auto"/>
        <w:left w:val="none" w:sz="0" w:space="0" w:color="auto"/>
        <w:bottom w:val="none" w:sz="0" w:space="0" w:color="auto"/>
        <w:right w:val="none" w:sz="0" w:space="0" w:color="auto"/>
      </w:divBdr>
    </w:div>
    <w:div w:id="1439327330">
      <w:bodyDiv w:val="1"/>
      <w:marLeft w:val="0"/>
      <w:marRight w:val="0"/>
      <w:marTop w:val="0"/>
      <w:marBottom w:val="0"/>
      <w:divBdr>
        <w:top w:val="none" w:sz="0" w:space="0" w:color="auto"/>
        <w:left w:val="none" w:sz="0" w:space="0" w:color="auto"/>
        <w:bottom w:val="none" w:sz="0" w:space="0" w:color="auto"/>
        <w:right w:val="none" w:sz="0" w:space="0" w:color="auto"/>
      </w:divBdr>
    </w:div>
    <w:div w:id="1442606440">
      <w:bodyDiv w:val="1"/>
      <w:marLeft w:val="0"/>
      <w:marRight w:val="0"/>
      <w:marTop w:val="0"/>
      <w:marBottom w:val="0"/>
      <w:divBdr>
        <w:top w:val="none" w:sz="0" w:space="0" w:color="auto"/>
        <w:left w:val="none" w:sz="0" w:space="0" w:color="auto"/>
        <w:bottom w:val="none" w:sz="0" w:space="0" w:color="auto"/>
        <w:right w:val="none" w:sz="0" w:space="0" w:color="auto"/>
      </w:divBdr>
    </w:div>
    <w:div w:id="1496334332">
      <w:bodyDiv w:val="1"/>
      <w:marLeft w:val="0"/>
      <w:marRight w:val="0"/>
      <w:marTop w:val="0"/>
      <w:marBottom w:val="0"/>
      <w:divBdr>
        <w:top w:val="none" w:sz="0" w:space="0" w:color="auto"/>
        <w:left w:val="none" w:sz="0" w:space="0" w:color="auto"/>
        <w:bottom w:val="none" w:sz="0" w:space="0" w:color="auto"/>
        <w:right w:val="none" w:sz="0" w:space="0" w:color="auto"/>
      </w:divBdr>
    </w:div>
    <w:div w:id="1532382324">
      <w:bodyDiv w:val="1"/>
      <w:marLeft w:val="0"/>
      <w:marRight w:val="0"/>
      <w:marTop w:val="0"/>
      <w:marBottom w:val="0"/>
      <w:divBdr>
        <w:top w:val="none" w:sz="0" w:space="0" w:color="auto"/>
        <w:left w:val="none" w:sz="0" w:space="0" w:color="auto"/>
        <w:bottom w:val="none" w:sz="0" w:space="0" w:color="auto"/>
        <w:right w:val="none" w:sz="0" w:space="0" w:color="auto"/>
      </w:divBdr>
    </w:div>
    <w:div w:id="1634600889">
      <w:bodyDiv w:val="1"/>
      <w:marLeft w:val="0"/>
      <w:marRight w:val="0"/>
      <w:marTop w:val="0"/>
      <w:marBottom w:val="0"/>
      <w:divBdr>
        <w:top w:val="none" w:sz="0" w:space="0" w:color="auto"/>
        <w:left w:val="none" w:sz="0" w:space="0" w:color="auto"/>
        <w:bottom w:val="none" w:sz="0" w:space="0" w:color="auto"/>
        <w:right w:val="none" w:sz="0" w:space="0" w:color="auto"/>
      </w:divBdr>
    </w:div>
    <w:div w:id="1651402596">
      <w:bodyDiv w:val="1"/>
      <w:marLeft w:val="0"/>
      <w:marRight w:val="0"/>
      <w:marTop w:val="0"/>
      <w:marBottom w:val="0"/>
      <w:divBdr>
        <w:top w:val="none" w:sz="0" w:space="0" w:color="auto"/>
        <w:left w:val="none" w:sz="0" w:space="0" w:color="auto"/>
        <w:bottom w:val="none" w:sz="0" w:space="0" w:color="auto"/>
        <w:right w:val="none" w:sz="0" w:space="0" w:color="auto"/>
      </w:divBdr>
    </w:div>
    <w:div w:id="1664434742">
      <w:bodyDiv w:val="1"/>
      <w:marLeft w:val="0"/>
      <w:marRight w:val="0"/>
      <w:marTop w:val="0"/>
      <w:marBottom w:val="0"/>
      <w:divBdr>
        <w:top w:val="none" w:sz="0" w:space="0" w:color="auto"/>
        <w:left w:val="none" w:sz="0" w:space="0" w:color="auto"/>
        <w:bottom w:val="none" w:sz="0" w:space="0" w:color="auto"/>
        <w:right w:val="none" w:sz="0" w:space="0" w:color="auto"/>
      </w:divBdr>
    </w:div>
    <w:div w:id="1712921993">
      <w:bodyDiv w:val="1"/>
      <w:marLeft w:val="0"/>
      <w:marRight w:val="0"/>
      <w:marTop w:val="0"/>
      <w:marBottom w:val="0"/>
      <w:divBdr>
        <w:top w:val="none" w:sz="0" w:space="0" w:color="auto"/>
        <w:left w:val="none" w:sz="0" w:space="0" w:color="auto"/>
        <w:bottom w:val="none" w:sz="0" w:space="0" w:color="auto"/>
        <w:right w:val="none" w:sz="0" w:space="0" w:color="auto"/>
      </w:divBdr>
    </w:div>
    <w:div w:id="1739091941">
      <w:bodyDiv w:val="1"/>
      <w:marLeft w:val="0"/>
      <w:marRight w:val="0"/>
      <w:marTop w:val="0"/>
      <w:marBottom w:val="0"/>
      <w:divBdr>
        <w:top w:val="none" w:sz="0" w:space="0" w:color="auto"/>
        <w:left w:val="none" w:sz="0" w:space="0" w:color="auto"/>
        <w:bottom w:val="none" w:sz="0" w:space="0" w:color="auto"/>
        <w:right w:val="none" w:sz="0" w:space="0" w:color="auto"/>
      </w:divBdr>
    </w:div>
    <w:div w:id="1763213030">
      <w:bodyDiv w:val="1"/>
      <w:marLeft w:val="0"/>
      <w:marRight w:val="0"/>
      <w:marTop w:val="0"/>
      <w:marBottom w:val="0"/>
      <w:divBdr>
        <w:top w:val="none" w:sz="0" w:space="0" w:color="auto"/>
        <w:left w:val="none" w:sz="0" w:space="0" w:color="auto"/>
        <w:bottom w:val="none" w:sz="0" w:space="0" w:color="auto"/>
        <w:right w:val="none" w:sz="0" w:space="0" w:color="auto"/>
      </w:divBdr>
    </w:div>
    <w:div w:id="1850944998">
      <w:bodyDiv w:val="1"/>
      <w:marLeft w:val="0"/>
      <w:marRight w:val="0"/>
      <w:marTop w:val="0"/>
      <w:marBottom w:val="0"/>
      <w:divBdr>
        <w:top w:val="none" w:sz="0" w:space="0" w:color="auto"/>
        <w:left w:val="none" w:sz="0" w:space="0" w:color="auto"/>
        <w:bottom w:val="none" w:sz="0" w:space="0" w:color="auto"/>
        <w:right w:val="none" w:sz="0" w:space="0" w:color="auto"/>
      </w:divBdr>
    </w:div>
    <w:div w:id="1880314117">
      <w:bodyDiv w:val="1"/>
      <w:marLeft w:val="0"/>
      <w:marRight w:val="0"/>
      <w:marTop w:val="0"/>
      <w:marBottom w:val="0"/>
      <w:divBdr>
        <w:top w:val="none" w:sz="0" w:space="0" w:color="auto"/>
        <w:left w:val="none" w:sz="0" w:space="0" w:color="auto"/>
        <w:bottom w:val="none" w:sz="0" w:space="0" w:color="auto"/>
        <w:right w:val="none" w:sz="0" w:space="0" w:color="auto"/>
      </w:divBdr>
    </w:div>
    <w:div w:id="1893077709">
      <w:bodyDiv w:val="1"/>
      <w:marLeft w:val="0"/>
      <w:marRight w:val="0"/>
      <w:marTop w:val="0"/>
      <w:marBottom w:val="0"/>
      <w:divBdr>
        <w:top w:val="none" w:sz="0" w:space="0" w:color="auto"/>
        <w:left w:val="none" w:sz="0" w:space="0" w:color="auto"/>
        <w:bottom w:val="none" w:sz="0" w:space="0" w:color="auto"/>
        <w:right w:val="none" w:sz="0" w:space="0" w:color="auto"/>
      </w:divBdr>
    </w:div>
    <w:div w:id="1921331438">
      <w:bodyDiv w:val="1"/>
      <w:marLeft w:val="0"/>
      <w:marRight w:val="0"/>
      <w:marTop w:val="0"/>
      <w:marBottom w:val="0"/>
      <w:divBdr>
        <w:top w:val="none" w:sz="0" w:space="0" w:color="auto"/>
        <w:left w:val="none" w:sz="0" w:space="0" w:color="auto"/>
        <w:bottom w:val="none" w:sz="0" w:space="0" w:color="auto"/>
        <w:right w:val="none" w:sz="0" w:space="0" w:color="auto"/>
      </w:divBdr>
    </w:div>
    <w:div w:id="1961061500">
      <w:bodyDiv w:val="1"/>
      <w:marLeft w:val="0"/>
      <w:marRight w:val="0"/>
      <w:marTop w:val="0"/>
      <w:marBottom w:val="0"/>
      <w:divBdr>
        <w:top w:val="none" w:sz="0" w:space="0" w:color="auto"/>
        <w:left w:val="none" w:sz="0" w:space="0" w:color="auto"/>
        <w:bottom w:val="none" w:sz="0" w:space="0" w:color="auto"/>
        <w:right w:val="none" w:sz="0" w:space="0" w:color="auto"/>
      </w:divBdr>
    </w:div>
    <w:div w:id="1973748045">
      <w:bodyDiv w:val="1"/>
      <w:marLeft w:val="0"/>
      <w:marRight w:val="0"/>
      <w:marTop w:val="0"/>
      <w:marBottom w:val="0"/>
      <w:divBdr>
        <w:top w:val="none" w:sz="0" w:space="0" w:color="auto"/>
        <w:left w:val="none" w:sz="0" w:space="0" w:color="auto"/>
        <w:bottom w:val="none" w:sz="0" w:space="0" w:color="auto"/>
        <w:right w:val="none" w:sz="0" w:space="0" w:color="auto"/>
      </w:divBdr>
    </w:div>
    <w:div w:id="2025858914">
      <w:bodyDiv w:val="1"/>
      <w:marLeft w:val="0"/>
      <w:marRight w:val="0"/>
      <w:marTop w:val="0"/>
      <w:marBottom w:val="0"/>
      <w:divBdr>
        <w:top w:val="none" w:sz="0" w:space="0" w:color="auto"/>
        <w:left w:val="none" w:sz="0" w:space="0" w:color="auto"/>
        <w:bottom w:val="none" w:sz="0" w:space="0" w:color="auto"/>
        <w:right w:val="none" w:sz="0" w:space="0" w:color="auto"/>
      </w:divBdr>
    </w:div>
    <w:div w:id="2105227866">
      <w:bodyDiv w:val="1"/>
      <w:marLeft w:val="0"/>
      <w:marRight w:val="0"/>
      <w:marTop w:val="0"/>
      <w:marBottom w:val="0"/>
      <w:divBdr>
        <w:top w:val="none" w:sz="0" w:space="0" w:color="auto"/>
        <w:left w:val="none" w:sz="0" w:space="0" w:color="auto"/>
        <w:bottom w:val="none" w:sz="0" w:space="0" w:color="auto"/>
        <w:right w:val="none" w:sz="0" w:space="0" w:color="auto"/>
      </w:divBdr>
    </w:div>
    <w:div w:id="21195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2503</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16738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